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9889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3A41BC82" wp14:editId="06E98A84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CB5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4CD4718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0D14DBA2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743A8C2C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05206847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474D1BAC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B71F1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41BF304C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ACB64A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DA173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87244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046EC5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1A742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5D381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DA93" w14:textId="77777777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13A103A9" w14:textId="77777777" w:rsidR="00452367" w:rsidRPr="00E900B4" w:rsidRDefault="006225DD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9D5425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F52107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B36D13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2022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23161E19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228D654C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2573E1A3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9A3F990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2A9F0DD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8A292C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5A637D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A7787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5671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FB7FD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124352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AD758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2CCF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FD91B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C1AF5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32FE0C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48F26B" w14:textId="77777777" w:rsidR="00BF3BBD" w:rsidRPr="00E900B4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FC1A55">
        <w:rPr>
          <w:rFonts w:asciiTheme="minorHAnsi" w:hAnsiTheme="minorHAnsi" w:cstheme="minorHAnsi"/>
          <w:b/>
          <w:sz w:val="22"/>
          <w:szCs w:val="22"/>
        </w:rPr>
        <w:t>listopad</w:t>
      </w:r>
      <w:proofErr w:type="spellEnd"/>
      <w:r w:rsidR="00E4292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2022</w:t>
      </w:r>
      <w:r w:rsidR="00F1542D" w:rsidRPr="00E900B4">
        <w:rPr>
          <w:rFonts w:asciiTheme="minorHAnsi" w:hAnsiTheme="minorHAnsi" w:cstheme="minorHAnsi"/>
          <w:b/>
          <w:sz w:val="22"/>
          <w:szCs w:val="22"/>
        </w:rPr>
        <w:t>.</w:t>
      </w:r>
    </w:p>
    <w:p w14:paraId="6188C777" w14:textId="77777777" w:rsidR="000969BA" w:rsidRPr="00E900B4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4419772"/>
    </w:p>
    <w:bookmarkEnd w:id="0"/>
    <w:p w14:paraId="5758FCD7" w14:textId="77777777" w:rsidR="007314AF" w:rsidRPr="007314AF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7314AF">
        <w:rPr>
          <w:rFonts w:asciiTheme="minorHAnsi" w:hAnsiTheme="minorHAnsi" w:cstheme="minorHAnsi"/>
          <w:b/>
          <w:i/>
          <w:sz w:val="22"/>
          <w:szCs w:val="22"/>
        </w:rPr>
        <w:t>Sadržaj</w:t>
      </w:r>
      <w:proofErr w:type="spellEnd"/>
      <w:r w:rsidRPr="007314AF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0BE8B16E" w14:textId="77777777" w:rsidR="006C6B71" w:rsidRPr="006C6B71" w:rsidRDefault="006C6B71">
          <w:pPr>
            <w:pStyle w:val="TOCNaslov"/>
            <w:rPr>
              <w:rFonts w:asciiTheme="minorHAnsi" w:hAnsiTheme="minorHAnsi" w:cstheme="minorHAnsi"/>
              <w:sz w:val="22"/>
              <w:szCs w:val="22"/>
            </w:rPr>
          </w:pPr>
        </w:p>
        <w:p w14:paraId="78EB7CF5" w14:textId="77777777" w:rsidR="009E1FEE" w:rsidRPr="009E1FEE" w:rsidRDefault="006C6B71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r w:rsidRPr="009E1FEE">
            <w:rPr>
              <w:b w:val="0"/>
            </w:rPr>
            <w:fldChar w:fldCharType="begin"/>
          </w:r>
          <w:r w:rsidRPr="009E1FEE">
            <w:rPr>
              <w:b w:val="0"/>
            </w:rPr>
            <w:instrText xml:space="preserve"> TOC \o "1-3" \h \z \u </w:instrText>
          </w:r>
          <w:r w:rsidRPr="009E1FEE">
            <w:rPr>
              <w:b w:val="0"/>
            </w:rPr>
            <w:fldChar w:fldCharType="separate"/>
          </w:r>
          <w:hyperlink w:anchor="_Toc96602563" w:history="1">
            <w:r w:rsidR="009E1FEE" w:rsidRPr="009E1FEE">
              <w:rPr>
                <w:rStyle w:val="Hiperveza"/>
                <w:b w:val="0"/>
              </w:rPr>
              <w:t>I. UVOD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_Toc96602563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3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7D25C573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4" w:history="1">
            <w:r w:rsidR="009E1FEE" w:rsidRPr="009E1FEE">
              <w:rPr>
                <w:rStyle w:val="Hiperveza"/>
                <w:b w:val="0"/>
              </w:rPr>
              <w:t>II. OPĆI PODACI O STRUKTURI OPĆINSKIH SUDOVA U REPUBLICI HRVATSKOJ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_Toc96602564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4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2D14D61F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5" w:history="1">
            <w:r w:rsidR="009E1FEE" w:rsidRPr="009E1FEE">
              <w:rPr>
                <w:rStyle w:val="Hiperveza"/>
                <w:b w:val="0"/>
              </w:rPr>
              <w:t>III. OPĆI PRIKAZ PODATAKA O KRETANJU PREDMETA NA ZEMLJIŠNOKNJIŽNIM ODJELIMA OPĆINSKIH SUDOVA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_Toc96602565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5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13673B28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6" w:history="1">
            <w:r w:rsidR="009E1FEE" w:rsidRPr="009E1FEE">
              <w:rPr>
                <w:rStyle w:val="Hiperveza"/>
                <w:b w:val="0"/>
              </w:rPr>
              <w:t>IV. PREGLED POSLOVANJA POJEDINAČNO PO SUDOVIMA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_Toc96602566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6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7A55237A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7" w:history="1">
            <w:r w:rsidR="009E1FEE" w:rsidRPr="009E1FEE">
              <w:rPr>
                <w:rStyle w:val="Hiperveza"/>
                <w:b w:val="0"/>
              </w:rPr>
              <w:t>V. STOPA RJEŠAVANJA PREDMETA POJEDINAČNO PO SUDOVIMA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_Toc96602567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10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2F3EF722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8" w:history="1">
            <w:r w:rsidR="009E1FEE" w:rsidRPr="009E1FEE">
              <w:rPr>
                <w:rStyle w:val="Hiperveza"/>
                <w:b w:val="0"/>
              </w:rPr>
              <w:t>VI. VRIJEME RJEŠAVANJA PREDMETA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_Toc96602568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14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1D9B97EA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69" w:history="1">
            <w:r w:rsidR="009E1FEE" w:rsidRPr="009E1FEE">
              <w:rPr>
                <w:rStyle w:val="Hiperveza"/>
                <w:b w:val="0"/>
              </w:rPr>
              <w:t>VII. ZEMLJIŠNOKNJIŽNI ODJELI PREMA BROJU NERIJEŠENIH REDOVNIH PREDMETA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_Toc96602569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23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751FA733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70" w:history="1">
            <w:r w:rsidR="009E1FEE" w:rsidRPr="009E1FEE">
              <w:rPr>
                <w:rStyle w:val="Hiperveza"/>
                <w:b w:val="0"/>
              </w:rPr>
              <w:t>VIII. STRUKTURA ZEMLJIŠNOKNJIŽNIH PREDMETA PREMA SLOŽENOSTI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_Toc96602570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24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5A5E3C66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71" w:history="1">
            <w:r w:rsidR="009E1FEE" w:rsidRPr="009E1FEE">
              <w:rPr>
                <w:rStyle w:val="Hiperveza"/>
                <w:b w:val="0"/>
              </w:rPr>
              <w:t>IX. ELEKTRONIČKO POSLOVANJE ZEMLJIŠNOKNJIŽNIH ODJELA OPĆINSKIH SUDOVA REPUBLIKE HRVATSKE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_Toc96602571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26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6C3FEC0B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72" w:history="1">
            <w:r w:rsidR="009E1FEE" w:rsidRPr="009E1FEE">
              <w:rPr>
                <w:rStyle w:val="Hiperveza"/>
                <w:rFonts w:eastAsia="Times New Roman"/>
                <w:b w:val="0"/>
                <w:kern w:val="32"/>
              </w:rPr>
              <w:t>X. PRAĆENJE AKTIVNOSTI ZEMLJIŠNOKNJIŽNI</w:t>
            </w:r>
            <w:r w:rsidR="009D5425">
              <w:rPr>
                <w:rStyle w:val="Hiperveza"/>
                <w:rFonts w:eastAsia="Times New Roman"/>
                <w:b w:val="0"/>
                <w:kern w:val="32"/>
              </w:rPr>
              <w:t>H ODJELA OD KOLOVOZA 2004. DO 30</w:t>
            </w:r>
            <w:r w:rsidR="009E1FEE" w:rsidRPr="009E1FEE">
              <w:rPr>
                <w:rStyle w:val="Hiperveza"/>
                <w:rFonts w:eastAsia="Times New Roman"/>
                <w:b w:val="0"/>
                <w:kern w:val="32"/>
              </w:rPr>
              <w:t xml:space="preserve">. </w:t>
            </w:r>
            <w:r w:rsidR="00A1149C">
              <w:rPr>
                <w:rStyle w:val="Hiperveza"/>
                <w:rFonts w:eastAsia="Times New Roman"/>
                <w:b w:val="0"/>
                <w:kern w:val="32"/>
              </w:rPr>
              <w:t>RUJNA</w:t>
            </w:r>
            <w:r w:rsidR="00B36D13">
              <w:rPr>
                <w:rStyle w:val="Hiperveza"/>
                <w:rFonts w:eastAsia="Times New Roman"/>
                <w:b w:val="0"/>
                <w:kern w:val="32"/>
              </w:rPr>
              <w:t xml:space="preserve"> 2022</w:t>
            </w:r>
            <w:r w:rsidR="009E1FEE" w:rsidRPr="009E1FEE">
              <w:rPr>
                <w:rStyle w:val="Hiperveza"/>
                <w:rFonts w:eastAsia="Times New Roman"/>
                <w:b w:val="0"/>
                <w:kern w:val="32"/>
              </w:rPr>
              <w:t>.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_Toc96602572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28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6B4F5DC6" w14:textId="77777777" w:rsidR="009E1FEE" w:rsidRPr="009E1FEE" w:rsidRDefault="00FC0689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96602573" w:history="1">
            <w:r w:rsidR="009E1FEE" w:rsidRPr="009E1FEE">
              <w:rPr>
                <w:rStyle w:val="Hiperveza"/>
                <w:b w:val="0"/>
              </w:rPr>
              <w:t>XI. POPIS TABLICA I GRAFIKONA</w:t>
            </w:r>
            <w:r w:rsidR="009E1FEE" w:rsidRPr="009E1FEE">
              <w:rPr>
                <w:b w:val="0"/>
                <w:webHidden/>
              </w:rPr>
              <w:tab/>
            </w:r>
            <w:r w:rsidR="009E1FEE" w:rsidRPr="009E1FEE">
              <w:rPr>
                <w:b w:val="0"/>
                <w:webHidden/>
              </w:rPr>
              <w:fldChar w:fldCharType="begin"/>
            </w:r>
            <w:r w:rsidR="009E1FEE" w:rsidRPr="009E1FEE">
              <w:rPr>
                <w:b w:val="0"/>
                <w:webHidden/>
              </w:rPr>
              <w:instrText xml:space="preserve"> PAGEREF _Toc96602573 \h </w:instrText>
            </w:r>
            <w:r w:rsidR="009E1FEE" w:rsidRPr="009E1FEE">
              <w:rPr>
                <w:b w:val="0"/>
                <w:webHidden/>
              </w:rPr>
            </w:r>
            <w:r w:rsidR="009E1FEE" w:rsidRPr="009E1FEE">
              <w:rPr>
                <w:b w:val="0"/>
                <w:webHidden/>
              </w:rPr>
              <w:fldChar w:fldCharType="separate"/>
            </w:r>
            <w:r w:rsidR="000905A0">
              <w:rPr>
                <w:b w:val="0"/>
                <w:webHidden/>
              </w:rPr>
              <w:t>34</w:t>
            </w:r>
            <w:r w:rsidR="009E1FEE" w:rsidRPr="009E1FEE">
              <w:rPr>
                <w:b w:val="0"/>
                <w:webHidden/>
              </w:rPr>
              <w:fldChar w:fldCharType="end"/>
            </w:r>
          </w:hyperlink>
        </w:p>
        <w:p w14:paraId="5ECD77D4" w14:textId="77777777" w:rsidR="006C6B71" w:rsidRPr="006C6B71" w:rsidRDefault="006C6B71">
          <w:pPr>
            <w:rPr>
              <w:rFonts w:asciiTheme="minorHAnsi" w:hAnsiTheme="minorHAnsi" w:cstheme="minorHAnsi"/>
              <w:sz w:val="22"/>
              <w:szCs w:val="22"/>
            </w:rPr>
          </w:pPr>
          <w:r w:rsidRPr="009E1FEE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14:paraId="0B7AE672" w14:textId="77777777" w:rsidR="001A414D" w:rsidRPr="008E6726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04E76282" w14:textId="77777777" w:rsidR="006C6B71" w:rsidRPr="006C6B71" w:rsidRDefault="006C6B71" w:rsidP="006C6B71">
      <w:pPr>
        <w:sectPr w:rsidR="006C6B71" w:rsidRPr="006C6B71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3BBAC674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" w:name="_Toc505002654"/>
      <w:bookmarkStart w:id="2" w:name="_Toc505002735"/>
      <w:bookmarkStart w:id="3" w:name="_Toc535406765"/>
      <w:bookmarkStart w:id="4" w:name="_Toc70332795"/>
      <w:bookmarkStart w:id="5" w:name="_Toc96602563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1"/>
      <w:bookmarkEnd w:id="2"/>
      <w:bookmarkEnd w:id="3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4"/>
      <w:bookmarkEnd w:id="5"/>
    </w:p>
    <w:p w14:paraId="075C36F2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49D7B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 5</w:t>
      </w:r>
      <w:r w:rsidR="008C05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E900B4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E900B4">
        <w:rPr>
          <w:rFonts w:asciiTheme="minorHAnsi" w:hAnsiTheme="minorHAnsi" w:cstheme="minorHAnsi"/>
          <w:sz w:val="22"/>
          <w:szCs w:val="22"/>
        </w:rPr>
        <w:t>, 67/18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B36D13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E900B4">
        <w:rPr>
          <w:rFonts w:asciiTheme="minorHAnsi" w:hAnsiTheme="minorHAnsi" w:cstheme="minorHAnsi"/>
          <w:sz w:val="22"/>
          <w:szCs w:val="22"/>
        </w:rPr>
        <w:t>130/20</w:t>
      </w:r>
      <w:r w:rsidR="00E113D8">
        <w:rPr>
          <w:rFonts w:asciiTheme="minorHAnsi" w:hAnsiTheme="minorHAnsi" w:cstheme="minorHAnsi"/>
          <w:sz w:val="22"/>
          <w:szCs w:val="22"/>
        </w:rPr>
        <w:t xml:space="preserve">, </w:t>
      </w:r>
      <w:r w:rsidR="00B36D13">
        <w:rPr>
          <w:rFonts w:asciiTheme="minorHAnsi" w:hAnsiTheme="minorHAnsi" w:cstheme="minorHAnsi"/>
          <w:sz w:val="22"/>
          <w:szCs w:val="22"/>
        </w:rPr>
        <w:t>21/22</w:t>
      </w:r>
      <w:r w:rsidR="00E11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13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113D8">
        <w:rPr>
          <w:rFonts w:asciiTheme="minorHAnsi" w:hAnsiTheme="minorHAnsi" w:cstheme="minorHAnsi"/>
          <w:sz w:val="22"/>
          <w:szCs w:val="22"/>
        </w:rPr>
        <w:t xml:space="preserve"> 60/22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Ministarstvo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djelovanju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E900B4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>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A6108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958BC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113/19</w:t>
      </w:r>
      <w:r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70DDC31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530F8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>)</w:t>
      </w:r>
      <w:r w:rsidR="00E31A2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rokov</w:t>
      </w:r>
      <w:r w:rsidR="00AC4201" w:rsidRPr="00E900B4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E900B4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F48CF5" w14:textId="77777777" w:rsidR="00F1578D" w:rsidRPr="00E900B4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07E4D" w14:textId="77777777" w:rsidR="007A08F7" w:rsidRPr="00E900B4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578D"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="00F1578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izdvaja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založno</w:t>
      </w:r>
      <w:r w:rsidR="007A4F8A" w:rsidRPr="00E900B4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dvije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intenzivnu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gospodarsku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aktivnost</w:t>
      </w:r>
      <w:proofErr w:type="spellEnd"/>
      <w:r w:rsidR="00B50D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DE7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U</w:t>
      </w:r>
      <w:r w:rsidR="007A4F8A" w:rsidRPr="00E900B4">
        <w:rPr>
          <w:rFonts w:asciiTheme="minorHAnsi" w:hAnsiTheme="minorHAnsi" w:cstheme="minorHAnsi"/>
          <w:sz w:val="22"/>
          <w:szCs w:val="22"/>
        </w:rPr>
        <w:t>tvrđeno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brzinu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obradi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istih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ciljem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povoljnog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okruženja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promet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sređivanje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vlasničko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8A2E02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3DAFE" w14:textId="77777777" w:rsidR="00DC759C" w:rsidRPr="000E0FD8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0E0FD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izradi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korišteni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podaci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dostavljaju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Ministarstvu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, a koji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odnose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vrstu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odgovorni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točnost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dostavljenih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. Od 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51C51B10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C1805" w14:textId="77777777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223E2D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B80D54" w14:textId="77777777" w:rsidR="00BB01D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izdvajaju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odjeli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08F7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A08F7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7A08F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E900B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7A08F7" w:rsidRPr="00E900B4">
        <w:rPr>
          <w:rFonts w:asciiTheme="minorHAnsi" w:hAnsiTheme="minorHAnsi" w:cstheme="minorHAnsi"/>
          <w:sz w:val="22"/>
          <w:szCs w:val="22"/>
        </w:rPr>
        <w:t xml:space="preserve"> od </w:t>
      </w:r>
      <w:r w:rsidR="00D41FEF" w:rsidRPr="00E900B4">
        <w:rPr>
          <w:rFonts w:asciiTheme="minorHAnsi" w:hAnsiTheme="minorHAnsi" w:cstheme="minorHAnsi"/>
          <w:sz w:val="22"/>
          <w:szCs w:val="22"/>
        </w:rPr>
        <w:t xml:space="preserve">90 </w:t>
      </w:r>
      <w:r w:rsidR="009D1EEA" w:rsidRPr="00E900B4">
        <w:rPr>
          <w:rFonts w:asciiTheme="minorHAnsi" w:hAnsiTheme="minorHAnsi" w:cstheme="minorHAnsi"/>
          <w:sz w:val="22"/>
          <w:szCs w:val="22"/>
        </w:rPr>
        <w:t xml:space="preserve">dana za </w:t>
      </w:r>
      <w:proofErr w:type="spellStart"/>
      <w:r w:rsidR="009D1EEA" w:rsidRPr="00E900B4">
        <w:rPr>
          <w:rFonts w:asciiTheme="minorHAnsi" w:hAnsiTheme="minorHAnsi" w:cstheme="minorHAnsi"/>
          <w:sz w:val="22"/>
          <w:szCs w:val="22"/>
        </w:rPr>
        <w:t>rješav</w:t>
      </w:r>
      <w:r w:rsidR="007A08F7" w:rsidRPr="00E900B4">
        <w:rPr>
          <w:rFonts w:asciiTheme="minorHAnsi" w:hAnsiTheme="minorHAnsi" w:cstheme="minorHAnsi"/>
          <w:sz w:val="22"/>
          <w:szCs w:val="22"/>
        </w:rPr>
        <w:t>anje</w:t>
      </w:r>
      <w:proofErr w:type="spellEnd"/>
      <w:r w:rsidR="007A08F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A08F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C0718D" w:rsidRPr="00E900B4">
        <w:rPr>
          <w:rFonts w:asciiTheme="minorHAnsi" w:hAnsiTheme="minorHAnsi" w:cstheme="minorHAnsi"/>
          <w:sz w:val="22"/>
          <w:szCs w:val="22"/>
        </w:rPr>
        <w:t>,</w:t>
      </w:r>
      <w:r w:rsidR="007A08F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1E40"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CF1E4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1E40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CF1E4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1E40" w:rsidRPr="00E900B4">
        <w:rPr>
          <w:rFonts w:asciiTheme="minorHAnsi" w:hAnsiTheme="minorHAnsi" w:cstheme="minorHAnsi"/>
          <w:sz w:val="22"/>
          <w:szCs w:val="22"/>
        </w:rPr>
        <w:t>odjeli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učinkovitijeg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funkcioniranja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poduzimanja</w:t>
      </w:r>
      <w:proofErr w:type="spellEnd"/>
      <w:r w:rsidR="00D41FE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FEF" w:rsidRPr="00E900B4">
        <w:rPr>
          <w:rFonts w:asciiTheme="minorHAnsi" w:hAnsiTheme="minorHAnsi" w:cstheme="minorHAnsi"/>
          <w:sz w:val="22"/>
          <w:szCs w:val="22"/>
        </w:rPr>
        <w:t>o</w:t>
      </w:r>
      <w:r w:rsidR="00B3455D" w:rsidRPr="00E900B4">
        <w:rPr>
          <w:rFonts w:asciiTheme="minorHAnsi" w:hAnsiTheme="minorHAnsi" w:cstheme="minorHAnsi"/>
          <w:sz w:val="22"/>
          <w:szCs w:val="22"/>
        </w:rPr>
        <w:t>dgovarajućih</w:t>
      </w:r>
      <w:proofErr w:type="spellEnd"/>
      <w:r w:rsidR="00B3455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55D" w:rsidRPr="00E900B4">
        <w:rPr>
          <w:rFonts w:asciiTheme="minorHAnsi" w:hAnsiTheme="minorHAnsi" w:cstheme="minorHAnsi"/>
          <w:sz w:val="22"/>
          <w:szCs w:val="22"/>
        </w:rPr>
        <w:t>mjera</w:t>
      </w:r>
      <w:proofErr w:type="spellEnd"/>
      <w:r w:rsidR="00B3455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55D" w:rsidRPr="00E900B4">
        <w:rPr>
          <w:rFonts w:asciiTheme="minorHAnsi" w:hAnsiTheme="minorHAnsi" w:cstheme="minorHAnsi"/>
          <w:sz w:val="22"/>
          <w:szCs w:val="22"/>
        </w:rPr>
        <w:t>poboljšanja</w:t>
      </w:r>
      <w:proofErr w:type="spellEnd"/>
      <w:r w:rsidR="00B3455D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E42636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A9F29" w14:textId="77777777" w:rsidR="00C15CE4" w:rsidRPr="00E900B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zem</w:t>
      </w:r>
      <w:r w:rsidR="007A00A7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D8D4EA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CF9DC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</w:t>
      </w:r>
      <w:r w:rsidR="00CA2894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1EBA597F" w14:textId="77777777" w:rsidR="00CF1E40" w:rsidRPr="00E900B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81841" w14:textId="77777777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75B84" w14:textId="77777777" w:rsidR="00DC759C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EB1FE" w14:textId="77777777" w:rsidR="00DC759C" w:rsidRPr="00E900B4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F2B5A" w14:textId="77777777" w:rsidR="00A96494" w:rsidRPr="00E900B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ED982" w14:textId="77777777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6" w:name="_Toc70332796"/>
      <w:bookmarkStart w:id="7" w:name="_Toc96602564"/>
      <w:bookmarkStart w:id="8" w:name="_Toc505002655"/>
      <w:bookmarkStart w:id="9" w:name="_Toc505002736"/>
      <w:bookmarkStart w:id="10" w:name="_Toc535406766"/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6"/>
      <w:bookmarkEnd w:id="7"/>
    </w:p>
    <w:p w14:paraId="277B4AD0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3FF1C755" w14:textId="77777777" w:rsidR="00EF6B7C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98679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o</w:t>
      </w:r>
      <w:r w:rsidR="00486E92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</w:t>
      </w:r>
      <w:r w:rsidR="000F146D">
        <w:rPr>
          <w:rFonts w:asciiTheme="minorHAnsi" w:hAnsiTheme="minorHAnsi" w:cstheme="minorHAnsi"/>
          <w:sz w:val="22"/>
          <w:szCs w:val="22"/>
        </w:rPr>
        <w:t>62</w:t>
      </w:r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986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78E371" w14:textId="77777777" w:rsidR="00114DA3" w:rsidRPr="00D81C4D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stal</w:t>
      </w:r>
      <w:r w:rsidR="000F146D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je 109</w:t>
      </w:r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A3E8A" w14:textId="77777777" w:rsidR="00991029" w:rsidRPr="00D81C4D" w:rsidRDefault="000F146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109</w:t>
      </w:r>
      <w:r w:rsidR="00734D41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4D41" w:rsidRPr="00D81C4D">
        <w:rPr>
          <w:rFonts w:asciiTheme="minorHAnsi" w:hAnsiTheme="minorHAnsi" w:cstheme="minorHAnsi"/>
          <w:sz w:val="22"/>
          <w:szCs w:val="22"/>
        </w:rPr>
        <w:t>ze</w:t>
      </w:r>
      <w:r w:rsidR="00CB5254">
        <w:rPr>
          <w:rFonts w:asciiTheme="minorHAnsi" w:hAnsiTheme="minorHAnsi" w:cstheme="minorHAnsi"/>
          <w:sz w:val="22"/>
          <w:szCs w:val="22"/>
        </w:rPr>
        <w:t>mljišnoknjižnih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zaposlen</w:t>
      </w:r>
      <w:proofErr w:type="spellEnd"/>
      <w:r w:rsidR="00734D41"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r w:rsidR="00FC684C">
        <w:rPr>
          <w:rFonts w:asciiTheme="minorHAnsi" w:hAnsiTheme="minorHAnsi" w:cstheme="minorHAnsi"/>
          <w:sz w:val="22"/>
          <w:szCs w:val="22"/>
        </w:rPr>
        <w:t>791</w:t>
      </w:r>
      <w:r w:rsidR="00106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6FE5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referent</w:t>
      </w:r>
      <w:r w:rsidR="005404EA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FE21D5" w14:textId="77777777" w:rsidR="00B1049D" w:rsidRPr="00D81C4D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6498DB" w14:textId="77777777" w:rsidR="00E07839" w:rsidRPr="00D81C4D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</w:t>
      </w:r>
      <w:r w:rsidR="00FC684C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684C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684C">
        <w:rPr>
          <w:rFonts w:asciiTheme="minorHAnsi" w:hAnsiTheme="minorHAnsi" w:cstheme="minorHAnsi"/>
          <w:sz w:val="22"/>
          <w:szCs w:val="22"/>
        </w:rPr>
        <w:t>zaposleno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je 665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žen</w:t>
      </w:r>
      <w:r w:rsidR="00380B9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FC684C">
        <w:rPr>
          <w:rFonts w:asciiTheme="minorHAnsi" w:hAnsiTheme="minorHAnsi" w:cstheme="minorHAnsi"/>
          <w:sz w:val="22"/>
          <w:szCs w:val="22"/>
        </w:rPr>
        <w:t>84,07</w:t>
      </w:r>
      <w:r w:rsidR="00B1049D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</w:t>
      </w:r>
      <w:r w:rsidR="009C0232">
        <w:rPr>
          <w:rFonts w:asciiTheme="minorHAnsi" w:hAnsiTheme="minorHAnsi" w:cstheme="minorHAnsi"/>
          <w:sz w:val="22"/>
          <w:szCs w:val="22"/>
        </w:rPr>
        <w:t>roja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referenata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550F" w:rsidRPr="00D81C4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596C16" w:rsidRPr="00D81C4D">
        <w:rPr>
          <w:rFonts w:asciiTheme="minorHAnsi" w:hAnsiTheme="minorHAnsi" w:cstheme="minorHAnsi"/>
          <w:sz w:val="22"/>
          <w:szCs w:val="22"/>
        </w:rPr>
        <w:t>zaposleno</w:t>
      </w:r>
      <w:proofErr w:type="spellEnd"/>
      <w:r w:rsidR="00596C16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424A14">
        <w:rPr>
          <w:rFonts w:asciiTheme="minorHAnsi" w:hAnsiTheme="minorHAnsi" w:cstheme="minorHAnsi"/>
          <w:sz w:val="22"/>
          <w:szCs w:val="22"/>
        </w:rPr>
        <w:t>126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FC684C">
        <w:rPr>
          <w:rFonts w:asciiTheme="minorHAnsi" w:hAnsiTheme="minorHAnsi" w:cstheme="minorHAnsi"/>
          <w:sz w:val="22"/>
          <w:szCs w:val="22"/>
        </w:rPr>
        <w:t>15,93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</w:t>
      </w:r>
      <w:r w:rsidR="009C0232">
        <w:rPr>
          <w:rFonts w:asciiTheme="minorHAnsi" w:hAnsiTheme="minorHAnsi" w:cstheme="minorHAnsi"/>
          <w:sz w:val="22"/>
          <w:szCs w:val="22"/>
        </w:rPr>
        <w:t>roja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referenat</w:t>
      </w:r>
      <w:r w:rsidR="00E07839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48F768" w14:textId="77777777" w:rsidR="00596C16" w:rsidRPr="00D81C4D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7C480F31" w14:textId="77777777" w:rsidR="00596C16" w:rsidRPr="00D81C4D" w:rsidRDefault="00596C16" w:rsidP="00596C16">
      <w:pPr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referenata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referenat</w:t>
      </w:r>
      <w:r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</w:t>
      </w:r>
      <w:r w:rsidR="00D81C4D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BC18A9">
        <w:rPr>
          <w:rFonts w:asciiTheme="minorHAnsi" w:hAnsiTheme="minorHAnsi" w:cstheme="minorHAnsi"/>
          <w:sz w:val="22"/>
          <w:szCs w:val="22"/>
        </w:rPr>
        <w:t>–</w:t>
      </w:r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FC684C">
        <w:rPr>
          <w:rFonts w:asciiTheme="minorHAnsi" w:hAnsiTheme="minorHAnsi" w:cstheme="minorHAnsi"/>
          <w:sz w:val="22"/>
          <w:szCs w:val="22"/>
        </w:rPr>
        <w:t>57,65</w:t>
      </w:r>
      <w:r w:rsidR="00BC18A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>
        <w:rPr>
          <w:rFonts w:asciiTheme="minorHAnsi" w:hAnsiTheme="minorHAnsi" w:cstheme="minorHAnsi"/>
          <w:sz w:val="22"/>
          <w:szCs w:val="22"/>
        </w:rPr>
        <w:t>v</w:t>
      </w:r>
      <w:r w:rsidRPr="00D81C4D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FC684C">
        <w:rPr>
          <w:rFonts w:asciiTheme="minorHAnsi" w:hAnsiTheme="minorHAnsi" w:cstheme="minorHAnsi"/>
          <w:sz w:val="22"/>
          <w:szCs w:val="22"/>
        </w:rPr>
        <w:t>34,90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</w:t>
      </w:r>
      <w:r w:rsidR="00D81C4D" w:rsidRPr="00D81C4D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FC684C">
        <w:rPr>
          <w:rFonts w:asciiTheme="minorHAnsi" w:hAnsiTheme="minorHAnsi" w:cstheme="minorHAnsi"/>
          <w:sz w:val="22"/>
          <w:szCs w:val="22"/>
        </w:rPr>
        <w:t>7,45</w:t>
      </w:r>
      <w:r w:rsidRPr="00D81C4D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37BD6C4" w14:textId="77777777" w:rsidR="00596C16" w:rsidRPr="00D81C4D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70EB02BA" w14:textId="77777777" w:rsidR="00596C16" w:rsidRPr="00D81C4D" w:rsidRDefault="00596C16" w:rsidP="00596C1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</w:t>
      </w:r>
      <w:r w:rsidR="006F7189" w:rsidRPr="00D81C4D">
        <w:rPr>
          <w:rFonts w:asciiTheme="minorHAnsi" w:hAnsiTheme="minorHAnsi" w:cstheme="minorHAnsi"/>
          <w:sz w:val="22"/>
          <w:szCs w:val="22"/>
        </w:rPr>
        <w:t>ljišnoknj</w:t>
      </w:r>
      <w:r w:rsidR="00E720AE" w:rsidRPr="00D81C4D">
        <w:rPr>
          <w:rFonts w:asciiTheme="minorHAnsi" w:hAnsiTheme="minorHAnsi" w:cstheme="minorHAnsi"/>
          <w:sz w:val="22"/>
          <w:szCs w:val="22"/>
        </w:rPr>
        <w:t>i</w:t>
      </w:r>
      <w:r w:rsidR="009D5425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9D54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5425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9D5425">
        <w:rPr>
          <w:rFonts w:asciiTheme="minorHAnsi" w:hAnsiTheme="minorHAnsi" w:cstheme="minorHAnsi"/>
          <w:sz w:val="22"/>
          <w:szCs w:val="22"/>
        </w:rPr>
        <w:t xml:space="preserve">, </w:t>
      </w:r>
      <w:r w:rsidR="00FC684C">
        <w:rPr>
          <w:rFonts w:asciiTheme="minorHAnsi" w:hAnsiTheme="minorHAnsi" w:cstheme="minorHAnsi"/>
          <w:sz w:val="22"/>
          <w:szCs w:val="22"/>
        </w:rPr>
        <w:t>65,87</w:t>
      </w:r>
      <w:r w:rsidR="009C0232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9C02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referenata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izrađivati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</w:t>
      </w:r>
      <w:r w:rsidR="00FC684C">
        <w:rPr>
          <w:rFonts w:asciiTheme="minorHAnsi" w:hAnsiTheme="minorHAnsi" w:cstheme="minorHAnsi"/>
          <w:sz w:val="22"/>
          <w:szCs w:val="22"/>
        </w:rPr>
        <w:t>šnoknjižnim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684C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684C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FC684C">
        <w:rPr>
          <w:rFonts w:asciiTheme="minorHAnsi" w:hAnsiTheme="minorHAnsi" w:cstheme="minorHAnsi"/>
          <w:sz w:val="22"/>
          <w:szCs w:val="22"/>
        </w:rPr>
        <w:t xml:space="preserve"> 34,13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232">
        <w:rPr>
          <w:rFonts w:asciiTheme="minorHAnsi" w:hAnsiTheme="minorHAnsi" w:cstheme="minorHAnsi"/>
          <w:sz w:val="22"/>
          <w:szCs w:val="22"/>
        </w:rPr>
        <w:t>referenti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posebnog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D49E92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31D40A67" w14:textId="77777777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2E9FD036" w14:textId="77777777" w:rsidR="000D243A" w:rsidRDefault="00101B05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" w:name="_Toc70333481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1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Pr="00101B05">
        <w:rPr>
          <w:rFonts w:asciiTheme="minorHAnsi" w:hAnsiTheme="minorHAnsi" w:cstheme="minorHAnsi"/>
        </w:rPr>
        <w:t xml:space="preserve"> </w:t>
      </w:r>
      <w:proofErr w:type="spellStart"/>
      <w:r w:rsidR="000D243A" w:rsidRPr="007314AF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End w:id="11"/>
      <w:proofErr w:type="spellStart"/>
      <w:r w:rsidR="00DB5AA0">
        <w:rPr>
          <w:rFonts w:asciiTheme="minorHAnsi" w:hAnsiTheme="minorHAnsi" w:cstheme="minorHAnsi"/>
          <w:b w:val="0"/>
          <w:sz w:val="22"/>
          <w:szCs w:val="22"/>
        </w:rPr>
        <w:t>referenata</w:t>
      </w:r>
      <w:proofErr w:type="spellEnd"/>
    </w:p>
    <w:p w14:paraId="44037A57" w14:textId="77777777" w:rsidR="006F7189" w:rsidRDefault="006F7189" w:rsidP="009D466D"/>
    <w:p w14:paraId="54792376" w14:textId="77777777" w:rsidR="006F7189" w:rsidRDefault="006F7189" w:rsidP="009D466D">
      <w:pPr>
        <w:jc w:val="center"/>
      </w:pPr>
    </w:p>
    <w:p w14:paraId="46524720" w14:textId="77777777" w:rsidR="006F7189" w:rsidRDefault="00FC1A55" w:rsidP="009D466D">
      <w:pPr>
        <w:jc w:val="center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873A1C6" wp14:editId="17120F22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4848225" cy="2743200"/>
            <wp:effectExtent l="0" t="0" r="9525" b="0"/>
            <wp:wrapTopAndBottom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D7F679F" w14:textId="77777777" w:rsidR="006F7189" w:rsidRDefault="006F7189" w:rsidP="006F7189"/>
    <w:p w14:paraId="7BB72629" w14:textId="77777777" w:rsidR="006F7189" w:rsidRPr="006F7189" w:rsidRDefault="006F7189" w:rsidP="006F7189"/>
    <w:p w14:paraId="3C3FE636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A6F6E12" w14:textId="77777777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DE9B2F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39F40A41" w14:textId="77777777" w:rsidR="00302737" w:rsidRPr="00E900B4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623A3195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6D8D1664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8A0DE6E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2E821594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4F828CA8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5E5AE438" w14:textId="77777777" w:rsidR="00DC1BB1" w:rsidRPr="00E900B4" w:rsidRDefault="00DC1BB1" w:rsidP="00F24169">
      <w:pPr>
        <w:rPr>
          <w:rFonts w:asciiTheme="minorHAnsi" w:hAnsiTheme="minorHAnsi" w:cstheme="minorHAnsi"/>
          <w:sz w:val="22"/>
          <w:szCs w:val="22"/>
        </w:rPr>
      </w:pPr>
    </w:p>
    <w:p w14:paraId="5FF2145B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Toc70332797"/>
      <w:bookmarkStart w:id="13" w:name="_Toc96602565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4" w:name="_Toc30064120"/>
      <w:bookmarkEnd w:id="12"/>
      <w:bookmarkEnd w:id="13"/>
    </w:p>
    <w:p w14:paraId="6503C2FE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5C5C859B" w14:textId="77777777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DE5BEF">
        <w:rPr>
          <w:rFonts w:asciiTheme="minorHAnsi" w:hAnsiTheme="minorHAnsi" w:cstheme="minorHAnsi"/>
          <w:b/>
          <w:sz w:val="22"/>
          <w:szCs w:val="22"/>
        </w:rPr>
        <w:t>I</w:t>
      </w:r>
      <w:r w:rsidR="009D5425">
        <w:rPr>
          <w:rFonts w:asciiTheme="minorHAnsi" w:hAnsiTheme="minorHAnsi" w:cstheme="minorHAnsi"/>
          <w:b/>
          <w:sz w:val="22"/>
          <w:szCs w:val="22"/>
        </w:rPr>
        <w:t>I</w:t>
      </w:r>
      <w:r w:rsidR="000A3278">
        <w:rPr>
          <w:rFonts w:asciiTheme="minorHAnsi" w:hAnsiTheme="minorHAnsi" w:cstheme="minorHAnsi"/>
          <w:b/>
          <w:sz w:val="22"/>
          <w:szCs w:val="22"/>
        </w:rPr>
        <w:t>I</w:t>
      </w:r>
      <w:r w:rsidR="003D5EA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3D5EA2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3D5EA2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DE5BEF" w:rsidRPr="00DE5BEF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: </w:t>
      </w:r>
      <w:bookmarkEnd w:id="14"/>
    </w:p>
    <w:p w14:paraId="647E6465" w14:textId="77777777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3154A2" w:rsidRPr="00E900B4">
        <w:rPr>
          <w:rFonts w:asciiTheme="minorHAnsi" w:hAnsiTheme="minorHAnsi" w:cstheme="minorHAnsi"/>
          <w:sz w:val="22"/>
          <w:szCs w:val="22"/>
        </w:rPr>
        <w:t>zdano</w:t>
      </w:r>
      <w:proofErr w:type="spellEnd"/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A3278">
        <w:rPr>
          <w:rFonts w:asciiTheme="minorHAnsi" w:hAnsiTheme="minorHAnsi" w:cstheme="minorHAnsi"/>
          <w:b/>
          <w:sz w:val="22"/>
          <w:szCs w:val="22"/>
        </w:rPr>
        <w:t>264.576</w:t>
      </w:r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</w:p>
    <w:p w14:paraId="5FDE75C5" w14:textId="77777777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A3278">
        <w:rPr>
          <w:rFonts w:asciiTheme="minorHAnsi" w:hAnsiTheme="minorHAnsi" w:cstheme="minorHAnsi"/>
          <w:b/>
          <w:sz w:val="22"/>
          <w:szCs w:val="22"/>
        </w:rPr>
        <w:t>144.144</w:t>
      </w:r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47C9">
        <w:rPr>
          <w:rFonts w:asciiTheme="minorHAnsi" w:hAnsiTheme="minorHAnsi" w:cstheme="minorHAnsi"/>
          <w:sz w:val="22"/>
          <w:szCs w:val="22"/>
        </w:rPr>
        <w:t>predmet</w:t>
      </w:r>
      <w:r w:rsidR="000A327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>)</w:t>
      </w:r>
    </w:p>
    <w:p w14:paraId="7458E2CD" w14:textId="77777777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riješen</w:t>
      </w:r>
      <w:r w:rsidR="00222AC5" w:rsidRPr="00E900B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A3278">
        <w:rPr>
          <w:rFonts w:asciiTheme="minorHAnsi" w:hAnsiTheme="minorHAnsi" w:cstheme="minorHAnsi"/>
          <w:b/>
          <w:sz w:val="22"/>
          <w:szCs w:val="22"/>
        </w:rPr>
        <w:t>141.726</w:t>
      </w:r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predmet</w:t>
      </w:r>
      <w:r w:rsidR="00BE36E1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)</w:t>
      </w:r>
    </w:p>
    <w:p w14:paraId="1101C351" w14:textId="77777777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E900B4">
        <w:rPr>
          <w:rFonts w:asciiTheme="minorHAnsi" w:hAnsiTheme="minorHAnsi" w:cstheme="minorHAnsi"/>
          <w:sz w:val="22"/>
          <w:szCs w:val="22"/>
        </w:rPr>
        <w:t>dan 3</w:t>
      </w:r>
      <w:r w:rsidR="009D5425">
        <w:rPr>
          <w:rFonts w:asciiTheme="minorHAnsi" w:hAnsiTheme="minorHAnsi" w:cstheme="minorHAnsi"/>
          <w:sz w:val="22"/>
          <w:szCs w:val="22"/>
        </w:rPr>
        <w:t>0</w:t>
      </w:r>
      <w:r w:rsidR="00C03F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A3278">
        <w:rPr>
          <w:rFonts w:asciiTheme="minorHAnsi" w:hAnsiTheme="minorHAnsi" w:cstheme="minorHAnsi"/>
          <w:sz w:val="22"/>
          <w:szCs w:val="22"/>
        </w:rPr>
        <w:t>rujan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3D5EA2">
        <w:rPr>
          <w:rFonts w:asciiTheme="minorHAnsi" w:hAnsiTheme="minorHAnsi" w:cstheme="minorHAnsi"/>
          <w:sz w:val="22"/>
          <w:szCs w:val="22"/>
        </w:rPr>
        <w:t>2022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0A3278">
        <w:rPr>
          <w:rFonts w:asciiTheme="minorHAnsi" w:hAnsiTheme="minorHAnsi" w:cstheme="minorHAnsi"/>
          <w:b/>
          <w:sz w:val="22"/>
          <w:szCs w:val="22"/>
        </w:rPr>
        <w:t>51.901</w:t>
      </w:r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0E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A3278">
        <w:rPr>
          <w:rFonts w:asciiTheme="minorHAnsi" w:hAnsiTheme="minorHAnsi" w:cstheme="minorHAnsi"/>
          <w:b/>
          <w:sz w:val="22"/>
          <w:szCs w:val="22"/>
        </w:rPr>
        <w:t>25.228</w:t>
      </w:r>
      <w:r w:rsidR="009D54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posebni</w:t>
      </w:r>
      <w:r w:rsidR="00F23D4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predmet</w:t>
      </w:r>
      <w:r w:rsidR="00F23D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AEC32F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4A82A3DC" w14:textId="77777777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5" w:name="_Toc70332764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bookmarkEnd w:id="15"/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0D51B32" w14:textId="77777777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3140"/>
        <w:gridCol w:w="1108"/>
        <w:gridCol w:w="1057"/>
        <w:gridCol w:w="1108"/>
        <w:gridCol w:w="1314"/>
        <w:gridCol w:w="1170"/>
        <w:gridCol w:w="1242"/>
      </w:tblGrid>
      <w:tr w:rsidR="00FC1A55" w:rsidRPr="00E900B4" w14:paraId="557C8132" w14:textId="77777777" w:rsidTr="003C711F">
        <w:trPr>
          <w:trHeight w:val="495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5A8112B2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24B72616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2019.</w:t>
            </w:r>
          </w:p>
        </w:tc>
        <w:tc>
          <w:tcPr>
            <w:tcW w:w="105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213CD14B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2020.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535DFAC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2021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31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ED29084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2022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1EFEF94A" w14:textId="77777777" w:rsidR="00FC1A55" w:rsidRPr="00AF4DB1" w:rsidRDefault="00FC1A55" w:rsidP="009D54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2022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242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6AE3D90" w14:textId="77777777" w:rsidR="00FC1A55" w:rsidRPr="003C711F" w:rsidRDefault="003C711F" w:rsidP="00FC1A55">
            <w:pPr>
              <w:jc w:val="center"/>
              <w:rPr>
                <w:rFonts w:asciiTheme="minorHAnsi" w:eastAsia="Times New Roman" w:hAnsiTheme="minorHAnsi" w:cstheme="minorHAnsi"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III.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2022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</w:tr>
      <w:tr w:rsidR="00FC1A55" w:rsidRPr="00E900B4" w14:paraId="347E2EAA" w14:textId="77777777" w:rsidTr="003C711F">
        <w:trPr>
          <w:trHeight w:val="330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24754ABC" w14:textId="77777777" w:rsidR="00FC1A55" w:rsidRPr="00C019B9" w:rsidRDefault="00FC1A55" w:rsidP="009D542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42C0D388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A7FDBF3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1.032.365</w:t>
            </w:r>
          </w:p>
        </w:tc>
        <w:tc>
          <w:tcPr>
            <w:tcW w:w="105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1625E76D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72BF4AC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831.805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bottom"/>
          </w:tcPr>
          <w:p w14:paraId="7C564D89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5E985EC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31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3AC359AB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353D208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306.196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1AD5FBC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286.515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233E9F9E" w14:textId="77777777" w:rsidR="00FC1A55" w:rsidRDefault="003C711F" w:rsidP="00FC1A5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264.576</w:t>
            </w:r>
          </w:p>
        </w:tc>
      </w:tr>
      <w:tr w:rsidR="00FC1A55" w:rsidRPr="00E900B4" w14:paraId="11168B44" w14:textId="77777777" w:rsidTr="003C711F">
        <w:trPr>
          <w:trHeight w:val="315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7D1076C" w14:textId="77777777" w:rsidR="00FC1A55" w:rsidRPr="00C019B9" w:rsidRDefault="00FC1A55" w:rsidP="009D542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5916A801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5380C2C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519.274</w:t>
            </w:r>
          </w:p>
        </w:tc>
        <w:tc>
          <w:tcPr>
            <w:tcW w:w="105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6237DDB5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4414DE9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496.108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bottom"/>
          </w:tcPr>
          <w:p w14:paraId="28569F5D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E2C83B6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31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2CC59730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345DD83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154.760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1A4FB299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159.041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7E836069" w14:textId="77777777" w:rsidR="00FC1A55" w:rsidRDefault="003C711F" w:rsidP="00FC1A5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144.144</w:t>
            </w:r>
          </w:p>
        </w:tc>
      </w:tr>
      <w:tr w:rsidR="00FC1A55" w:rsidRPr="00E900B4" w14:paraId="03CF19D0" w14:textId="77777777" w:rsidTr="003C711F">
        <w:trPr>
          <w:trHeight w:val="315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28E97191" w14:textId="77777777" w:rsidR="00FC1A55" w:rsidRPr="00C019B9" w:rsidRDefault="00FC1A55" w:rsidP="009D542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1EB6948E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D6DCCFF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510.264</w:t>
            </w:r>
          </w:p>
        </w:tc>
        <w:tc>
          <w:tcPr>
            <w:tcW w:w="105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585E426E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327501A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516.206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bottom"/>
          </w:tcPr>
          <w:p w14:paraId="0638BCA2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9A93565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314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B723369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72B4D89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148.980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034A6D7F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146.005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595743C1" w14:textId="77777777" w:rsidR="00FC1A55" w:rsidRDefault="003C711F" w:rsidP="00FC1A5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141.726</w:t>
            </w:r>
          </w:p>
        </w:tc>
      </w:tr>
      <w:tr w:rsidR="00FC1A55" w:rsidRPr="00E900B4" w14:paraId="1E39FB07" w14:textId="77777777" w:rsidTr="003C711F">
        <w:trPr>
          <w:trHeight w:val="300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B1DEABF" w14:textId="77777777" w:rsidR="00FC1A55" w:rsidRPr="00C019B9" w:rsidRDefault="00FC1A55" w:rsidP="009D542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05C38558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8DF4049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55.990</w:t>
            </w:r>
          </w:p>
        </w:tc>
        <w:tc>
          <w:tcPr>
            <w:tcW w:w="10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67B1F6A6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1503F1C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37.766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bottom"/>
          </w:tcPr>
          <w:p w14:paraId="6E91D1DC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B2CEA11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314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351C85D6" w14:textId="77777777" w:rsidR="00FC1A55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2473FBB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40.197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2264AC5F" w14:textId="77777777" w:rsidR="00FC1A55" w:rsidRPr="00C019B9" w:rsidRDefault="00FC1A55" w:rsidP="009D54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51.224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0B357E46" w14:textId="77777777" w:rsidR="00FC1A55" w:rsidRDefault="003C711F" w:rsidP="00FC1A5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51.901</w:t>
            </w:r>
          </w:p>
        </w:tc>
      </w:tr>
    </w:tbl>
    <w:p w14:paraId="31600CD7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4CD97104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4CD18948" w14:textId="77777777" w:rsidR="00B9135A" w:rsidRPr="00E900B4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</w:t>
      </w:r>
      <w:r w:rsidR="0025506D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0A32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27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A3278">
        <w:rPr>
          <w:rFonts w:asciiTheme="minorHAnsi" w:hAnsiTheme="minorHAnsi" w:cstheme="minorHAnsi"/>
          <w:sz w:val="22"/>
          <w:szCs w:val="22"/>
        </w:rPr>
        <w:t xml:space="preserve"> 51.901</w:t>
      </w:r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506D">
        <w:rPr>
          <w:rFonts w:asciiTheme="minorHAnsi" w:hAnsiTheme="minorHAnsi" w:cstheme="minorHAnsi"/>
          <w:sz w:val="22"/>
          <w:szCs w:val="22"/>
        </w:rPr>
        <w:t>pr</w:t>
      </w:r>
      <w:r w:rsidR="007F50C2">
        <w:rPr>
          <w:rFonts w:asciiTheme="minorHAnsi" w:hAnsiTheme="minorHAnsi" w:cstheme="minorHAnsi"/>
          <w:sz w:val="22"/>
          <w:szCs w:val="22"/>
        </w:rPr>
        <w:t>edmeta</w:t>
      </w:r>
      <w:proofErr w:type="spellEnd"/>
      <w:r w:rsidR="007F50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50C2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7F50C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50C2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F50C2">
        <w:rPr>
          <w:rFonts w:asciiTheme="minorHAnsi" w:hAnsiTheme="minorHAnsi" w:cstheme="minorHAnsi"/>
          <w:sz w:val="22"/>
          <w:szCs w:val="22"/>
        </w:rPr>
        <w:t xml:space="preserve"> </w:t>
      </w:r>
      <w:r w:rsidR="000A3278">
        <w:rPr>
          <w:rFonts w:asciiTheme="minorHAnsi" w:hAnsiTheme="minorHAnsi" w:cstheme="minorHAnsi"/>
          <w:sz w:val="22"/>
          <w:szCs w:val="22"/>
        </w:rPr>
        <w:t>od 1,32</w:t>
      </w:r>
      <w:r>
        <w:rPr>
          <w:rFonts w:asciiTheme="minorHAnsi" w:hAnsiTheme="minorHAnsi" w:cstheme="minorHAnsi"/>
          <w:sz w:val="22"/>
          <w:szCs w:val="22"/>
        </w:rPr>
        <w:t xml:space="preserve">%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</w:t>
      </w:r>
      <w:r w:rsidR="003D5EA2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A3278">
        <w:rPr>
          <w:rFonts w:asciiTheme="minorHAnsi" w:hAnsiTheme="minorHAnsi" w:cstheme="minorHAnsi"/>
          <w:sz w:val="22"/>
          <w:szCs w:val="22"/>
        </w:rPr>
        <w:t>lipnju</w:t>
      </w:r>
      <w:proofErr w:type="spellEnd"/>
      <w:r w:rsidR="007F50C2">
        <w:rPr>
          <w:rFonts w:asciiTheme="minorHAnsi" w:hAnsiTheme="minorHAnsi" w:cstheme="minorHAnsi"/>
          <w:sz w:val="22"/>
          <w:szCs w:val="22"/>
        </w:rPr>
        <w:t xml:space="preserve"> 2022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C7F67" w14:textId="77777777" w:rsidR="00DB12E3" w:rsidRPr="00E900B4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320049A4" w14:textId="77777777" w:rsidR="00E95D9D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16" w:name="_Toc70333482"/>
    </w:p>
    <w:p w14:paraId="5015ED65" w14:textId="77777777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2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873FE8">
        <w:rPr>
          <w:rFonts w:asciiTheme="minorHAnsi" w:hAnsiTheme="minorHAnsi" w:cstheme="minorHAnsi"/>
          <w:b w:val="0"/>
          <w:sz w:val="22"/>
          <w:szCs w:val="22"/>
        </w:rPr>
        <w:t>, I</w:t>
      </w:r>
      <w:r w:rsidR="00991FE4">
        <w:rPr>
          <w:rFonts w:asciiTheme="minorHAnsi" w:hAnsiTheme="minorHAnsi" w:cstheme="minorHAnsi"/>
          <w:b w:val="0"/>
          <w:sz w:val="22"/>
          <w:szCs w:val="22"/>
        </w:rPr>
        <w:t>I</w:t>
      </w:r>
      <w:r w:rsidR="007F50C2">
        <w:rPr>
          <w:rFonts w:asciiTheme="minorHAnsi" w:hAnsiTheme="minorHAnsi" w:cstheme="minorHAnsi"/>
          <w:b w:val="0"/>
          <w:sz w:val="22"/>
          <w:szCs w:val="22"/>
        </w:rPr>
        <w:t>I</w:t>
      </w:r>
      <w:r w:rsidR="0038494E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38494E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38494E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16"/>
    </w:p>
    <w:p w14:paraId="74412D34" w14:textId="77777777" w:rsidR="00873FE8" w:rsidRDefault="00873FE8" w:rsidP="00873FE8"/>
    <w:p w14:paraId="03702B37" w14:textId="77777777" w:rsidR="00873FE8" w:rsidRDefault="0023055E" w:rsidP="002E40A2">
      <w:pPr>
        <w:jc w:val="center"/>
      </w:pPr>
      <w:r>
        <w:rPr>
          <w:noProof/>
          <w:lang w:val="hr-HR"/>
        </w:rPr>
        <w:drawing>
          <wp:anchor distT="0" distB="0" distL="114300" distR="114300" simplePos="0" relativeHeight="251657728" behindDoc="0" locked="0" layoutInCell="1" allowOverlap="1" wp14:anchorId="2ADB5BE7" wp14:editId="3C616A82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01369242" w14:textId="77777777" w:rsidR="00873FE8" w:rsidRPr="00873FE8" w:rsidRDefault="00873FE8" w:rsidP="00873FE8"/>
    <w:p w14:paraId="2595A713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937471C" w14:textId="77777777" w:rsidR="00E34078" w:rsidRPr="00E900B4" w:rsidRDefault="00E34078" w:rsidP="00682A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B00641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bookmarkEnd w:id="8"/>
    <w:bookmarkEnd w:id="9"/>
    <w:bookmarkEnd w:id="10"/>
    <w:p w14:paraId="73ECBE42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5C4BD13A" w14:textId="77777777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7" w:name="_Toc70332798"/>
      <w:bookmarkStart w:id="18" w:name="_Toc96602566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17"/>
      <w:bookmarkEnd w:id="18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68399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36325" w14:textId="77777777" w:rsidR="00C15432" w:rsidRPr="00E900B4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</w:t>
      </w:r>
      <w:r w:rsidR="00AF47C9">
        <w:rPr>
          <w:rFonts w:asciiTheme="minorHAnsi" w:hAnsiTheme="minorHAnsi" w:cstheme="minorHAnsi"/>
          <w:sz w:val="22"/>
          <w:szCs w:val="22"/>
        </w:rPr>
        <w:t>knjižnih</w:t>
      </w:r>
      <w:proofErr w:type="spellEnd"/>
      <w:r w:rsidR="00AF47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47C9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AF47C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F47C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AF47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47C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F47C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A457CF">
        <w:rPr>
          <w:rFonts w:asciiTheme="minorHAnsi" w:hAnsiTheme="minorHAnsi" w:cstheme="minorHAnsi"/>
          <w:sz w:val="22"/>
          <w:szCs w:val="22"/>
        </w:rPr>
        <w:t>I</w:t>
      </w:r>
      <w:r w:rsidR="00AF47C9">
        <w:rPr>
          <w:rFonts w:asciiTheme="minorHAnsi" w:hAnsiTheme="minorHAnsi" w:cstheme="minorHAnsi"/>
          <w:sz w:val="22"/>
          <w:szCs w:val="22"/>
        </w:rPr>
        <w:t>II.</w:t>
      </w:r>
      <w:r w:rsidR="00580E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0E29">
        <w:rPr>
          <w:rFonts w:asciiTheme="minorHAnsi" w:hAnsiTheme="minorHAnsi" w:cstheme="minorHAnsi"/>
          <w:sz w:val="22"/>
          <w:szCs w:val="22"/>
        </w:rPr>
        <w:t>kvar</w:t>
      </w:r>
      <w:r w:rsidR="0038494E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38494E">
        <w:rPr>
          <w:rFonts w:asciiTheme="minorHAnsi" w:hAnsiTheme="minorHAnsi" w:cstheme="minorHAnsi"/>
          <w:sz w:val="22"/>
          <w:szCs w:val="22"/>
        </w:rPr>
        <w:t xml:space="preserve"> 2022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CF3EC3" w14:textId="77777777" w:rsidR="00B528CE" w:rsidRPr="00E900B4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A77AC9" w14:textId="77777777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9" w:name="_Toc70332765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19"/>
      <w:proofErr w:type="spellEnd"/>
    </w:p>
    <w:p w14:paraId="491E307C" w14:textId="77777777" w:rsidR="008C706C" w:rsidRPr="00E900B4" w:rsidRDefault="008C706C" w:rsidP="008C706C">
      <w:pPr>
        <w:rPr>
          <w:rFonts w:asciiTheme="minorHAnsi" w:hAnsiTheme="minorHAnsi" w:cstheme="minorHAnsi"/>
          <w:sz w:val="22"/>
          <w:szCs w:val="22"/>
        </w:rPr>
      </w:pPr>
      <w:bookmarkStart w:id="20" w:name="_Toc505002657"/>
      <w:bookmarkStart w:id="21" w:name="_Toc505002739"/>
    </w:p>
    <w:tbl>
      <w:tblPr>
        <w:tblW w:w="9913" w:type="dxa"/>
        <w:tblLook w:val="04A0" w:firstRow="1" w:lastRow="0" w:firstColumn="1" w:lastColumn="0" w:noHBand="0" w:noVBand="1"/>
      </w:tblPr>
      <w:tblGrid>
        <w:gridCol w:w="1568"/>
        <w:gridCol w:w="1570"/>
        <w:gridCol w:w="1095"/>
        <w:gridCol w:w="1007"/>
        <w:gridCol w:w="929"/>
        <w:gridCol w:w="979"/>
        <w:gridCol w:w="931"/>
        <w:gridCol w:w="880"/>
        <w:gridCol w:w="954"/>
      </w:tblGrid>
      <w:tr w:rsidR="004C4340" w:rsidRPr="00AB35EF" w14:paraId="76AD40D6" w14:textId="77777777" w:rsidTr="00C92ECD">
        <w:trPr>
          <w:trHeight w:val="99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36D91E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SUD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342619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8A64A85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</w:t>
            </w:r>
            <w:proofErr w:type="spellStart"/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</w:t>
            </w:r>
            <w:proofErr w:type="spellEnd"/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E85CE6C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7E4CD39B" w14:textId="77777777" w:rsidR="004C4340" w:rsidRPr="004C4340" w:rsidRDefault="004C4340" w:rsidP="00750EF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645EE15C" w14:textId="77777777" w:rsidR="004C4340" w:rsidRPr="004C4340" w:rsidRDefault="004C4340" w:rsidP="004C4340">
            <w:pPr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  <w:lang w:val="hr-HR"/>
              </w:rPr>
              <w:t xml:space="preserve">      </w:t>
            </w:r>
            <w:r w:rsidRPr="004C4340"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  <w:lang w:val="hr-HR"/>
              </w:rPr>
              <w:t>Bez rješavanja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6F87099" w14:textId="77777777" w:rsidR="004C4340" w:rsidRPr="00AB35EF" w:rsidRDefault="004C4340" w:rsidP="00750E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riješeno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predmeta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4045FD2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AB35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6DCC4A5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E70C11C" w14:textId="77777777" w:rsidR="004C4340" w:rsidRPr="00AB35EF" w:rsidRDefault="004C4340" w:rsidP="00AB35E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AB35E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A457CF" w:rsidRPr="00AB35EF" w14:paraId="1DD0F593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0B5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067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74AF9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3.398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42087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AE5C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FF06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6FE9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F23F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C21FE" w14:textId="77777777" w:rsidR="00A457CF" w:rsidRDefault="00A457CF" w:rsidP="00A457CF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47</w:t>
            </w:r>
          </w:p>
        </w:tc>
      </w:tr>
      <w:tr w:rsidR="00A457CF" w:rsidRPr="00AB35EF" w14:paraId="0B8C9694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DC3F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408B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FDE73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867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5C65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7BB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5680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F676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FFAD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7BCA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73</w:t>
            </w:r>
          </w:p>
        </w:tc>
      </w:tr>
      <w:tr w:rsidR="00A457CF" w:rsidRPr="00AB35EF" w14:paraId="08B3FD07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6BAE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9BA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BC467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2.169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A898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B897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475C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F2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4181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D3FC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56</w:t>
            </w:r>
          </w:p>
        </w:tc>
      </w:tr>
      <w:tr w:rsidR="00A457CF" w:rsidRPr="00AB35EF" w14:paraId="6A95462A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935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1C6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1ABF3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1.525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E35D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15A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DC67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7D0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F449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620C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</w:t>
            </w:r>
          </w:p>
        </w:tc>
      </w:tr>
      <w:tr w:rsidR="00A457CF" w:rsidRPr="00AB35EF" w14:paraId="78001937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B676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AB6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4BD0C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2.411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429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3EE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FE57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BD5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9D9F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CDD3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126</w:t>
            </w:r>
          </w:p>
        </w:tc>
      </w:tr>
      <w:tr w:rsidR="00A457CF" w:rsidRPr="00AB35EF" w14:paraId="08F4E0E3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4BB1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90C2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61296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1.635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3A92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506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4303E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B4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BB51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FA61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97</w:t>
            </w:r>
          </w:p>
        </w:tc>
      </w:tr>
      <w:tr w:rsidR="00A457CF" w:rsidRPr="00AB35EF" w14:paraId="4441187D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0E0D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7BDB4B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98AC87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12.005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FA08A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5.326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EC4BF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AE9B77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5.222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8F1A65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F45966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670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68D8C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408 </w:t>
            </w:r>
          </w:p>
        </w:tc>
      </w:tr>
      <w:tr w:rsidR="00A457CF" w:rsidRPr="00AB35EF" w14:paraId="3F7CE324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B14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05AC" w14:textId="77777777" w:rsidR="00A457CF" w:rsidRPr="000F45D4" w:rsidRDefault="00A457CF" w:rsidP="00A45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0F45D4">
              <w:rPr>
                <w:rFonts w:ascii="Calibri" w:hAnsi="Calibri" w:cs="Calibri"/>
                <w:sz w:val="22"/>
                <w:szCs w:val="22"/>
              </w:rPr>
              <w:t>rikvenica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C754C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6.244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CA7F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BA3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9E4F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CF0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FACE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8518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155</w:t>
            </w:r>
          </w:p>
        </w:tc>
      </w:tr>
      <w:tr w:rsidR="00A457CF" w:rsidRPr="00AB35EF" w14:paraId="04876082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A4E9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D4767" w14:textId="77777777" w:rsidR="00A457CF" w:rsidRPr="000F45D4" w:rsidRDefault="00A457CF" w:rsidP="00A457C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0F45D4">
              <w:rPr>
                <w:rFonts w:ascii="Calibri" w:hAnsi="Calibri" w:cs="Calibri"/>
                <w:sz w:val="22"/>
                <w:szCs w:val="22"/>
              </w:rPr>
              <w:t>rk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48FC3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2.852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432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67C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39FCE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592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6492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0B11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580</w:t>
            </w:r>
          </w:p>
        </w:tc>
      </w:tr>
      <w:tr w:rsidR="00A457CF" w:rsidRPr="00AB35EF" w14:paraId="4F7A4DFE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CD4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044B" w14:textId="77777777" w:rsidR="00A457CF" w:rsidRPr="000F45D4" w:rsidRDefault="00A457CF" w:rsidP="00A457CF">
            <w:pPr>
              <w:rPr>
                <w:rFonts w:ascii="Calibri" w:hAnsi="Calibri" w:cs="Calibri"/>
                <w:sz w:val="20"/>
                <w:szCs w:val="20"/>
              </w:rPr>
            </w:pPr>
            <w:r w:rsidRPr="000F45D4">
              <w:rPr>
                <w:rFonts w:ascii="Calibri" w:hAnsi="Calibri" w:cs="Calibri"/>
                <w:sz w:val="20"/>
                <w:szCs w:val="20"/>
              </w:rPr>
              <w:t xml:space="preserve">Novi </w:t>
            </w: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Vinodolski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4A4EF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1.142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8500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B37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A18D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5E0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B1B0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91DD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</w:t>
            </w:r>
          </w:p>
        </w:tc>
      </w:tr>
      <w:tr w:rsidR="00A457CF" w:rsidRPr="00AB35EF" w14:paraId="11B27CCA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C68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112C" w14:textId="77777777" w:rsidR="00A457CF" w:rsidRPr="000F45D4" w:rsidRDefault="00A457CF" w:rsidP="00A457C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0F45D4">
              <w:rPr>
                <w:rFonts w:ascii="Calibri" w:hAnsi="Calibri" w:cs="Calibri"/>
                <w:sz w:val="22"/>
                <w:szCs w:val="22"/>
              </w:rPr>
              <w:t>ab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F921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1.033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2C4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B62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BEB4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D93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6844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C609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110</w:t>
            </w:r>
          </w:p>
        </w:tc>
      </w:tr>
      <w:tr w:rsidR="00A457CF" w:rsidRPr="00AB35EF" w14:paraId="4644E2B1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57F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760E3" w14:textId="77777777" w:rsidR="00A457CF" w:rsidRPr="000F45D4" w:rsidRDefault="00A457CF" w:rsidP="00A457C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F45D4">
              <w:rPr>
                <w:rFonts w:ascii="Calibri" w:hAnsi="Calibri" w:cs="Calibri"/>
                <w:sz w:val="22"/>
                <w:szCs w:val="22"/>
              </w:rPr>
              <w:t>enj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C9D5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CC0E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8E6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FC9B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97A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976A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B8E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37</w:t>
            </w:r>
          </w:p>
        </w:tc>
      </w:tr>
      <w:tr w:rsidR="00A457CF" w:rsidRPr="00AB35EF" w14:paraId="52F6B49B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98A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57889C8" w14:textId="77777777" w:rsidR="00A457CF" w:rsidRPr="00DC711A" w:rsidRDefault="00A457CF" w:rsidP="00A45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4AB804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11.946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823CC1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4.973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61A702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50CAF9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4.078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8784BB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FBBE5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3.094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20996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926 </w:t>
            </w:r>
          </w:p>
        </w:tc>
      </w:tr>
      <w:tr w:rsidR="00A457CF" w:rsidRPr="00AB35EF" w14:paraId="25AA386A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48D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21AF" w14:textId="77777777" w:rsidR="00A457CF" w:rsidRPr="00AB35EF" w:rsidRDefault="00A457CF" w:rsidP="00A45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015F6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11.765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73A9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4E0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D8CA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9C8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4563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C4E0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36</w:t>
            </w:r>
          </w:p>
        </w:tc>
      </w:tr>
      <w:tr w:rsidR="00A457CF" w:rsidRPr="00AB35EF" w14:paraId="37F67F14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F422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39D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65EC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3.042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E722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DF9B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0C5B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726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A44A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FB8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</w:tr>
      <w:tr w:rsidR="00A457CF" w:rsidRPr="00AB35EF" w14:paraId="6A57A41F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EF12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5613FFB" w14:textId="77777777" w:rsidR="00A457CF" w:rsidRPr="00DC711A" w:rsidRDefault="00A457CF" w:rsidP="00A45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E07419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14.807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2BCEB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3.262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A67B67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D91E51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3.273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6D0C0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73331A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C15A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41 </w:t>
            </w:r>
          </w:p>
        </w:tc>
      </w:tr>
      <w:tr w:rsidR="00A457CF" w:rsidRPr="00AB35EF" w14:paraId="1C506FFF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E26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F6F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F10D2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676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5044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3112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5154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FD8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9DC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EC4C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179</w:t>
            </w:r>
          </w:p>
        </w:tc>
      </w:tr>
      <w:tr w:rsidR="00A457CF" w:rsidRPr="00AB35EF" w14:paraId="2E720A93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51B7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FA4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6B193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5.979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73CE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38D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6B41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2.314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FA8E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0E5A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861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778</w:t>
            </w:r>
          </w:p>
        </w:tc>
      </w:tr>
      <w:tr w:rsidR="00A457CF" w:rsidRPr="00AB35EF" w14:paraId="6DEDCE3F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7F6B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9CB" w14:textId="77777777" w:rsidR="00A457CF" w:rsidRPr="00AB35E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74621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1.625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A417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E7E9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A890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5B5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3F09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2AE1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392</w:t>
            </w:r>
          </w:p>
        </w:tc>
      </w:tr>
      <w:tr w:rsidR="00A457CF" w:rsidRPr="00AB35EF" w14:paraId="7645F25F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2692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EA873B" w14:textId="77777777" w:rsidR="00A457CF" w:rsidRPr="00DC711A" w:rsidRDefault="00A457CF" w:rsidP="00A45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452B441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8.280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A08F1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3.465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95CB89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AE1345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3.639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26295E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2.971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0DB2D2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1.622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91FA8E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1.349 </w:t>
            </w:r>
          </w:p>
        </w:tc>
      </w:tr>
      <w:tr w:rsidR="00A457CF" w:rsidRPr="00AB35EF" w14:paraId="5F5D6861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014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15BFD" w14:textId="77777777" w:rsidR="00A457CF" w:rsidRPr="00AB35EF" w:rsidRDefault="00A457CF" w:rsidP="00A45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2C1F7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2.483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7FE6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71E1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B2BE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2AC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85B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D7A66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</w:t>
            </w:r>
          </w:p>
        </w:tc>
      </w:tr>
      <w:tr w:rsidR="00A457CF" w:rsidRPr="00AB35EF" w14:paraId="337B4BE4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3C77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51EE" w14:textId="77777777" w:rsidR="00A457CF" w:rsidRPr="00AB35EF" w:rsidRDefault="00A457CF" w:rsidP="00A45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A1A36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1.306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621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938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392B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F13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66F9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3400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40</w:t>
            </w:r>
          </w:p>
        </w:tc>
      </w:tr>
      <w:tr w:rsidR="00A457CF" w:rsidRPr="00AB35EF" w14:paraId="754B1C6F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4864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B4E0A5" w14:textId="77777777" w:rsidR="00A457CF" w:rsidRPr="00DC711A" w:rsidRDefault="00A457CF" w:rsidP="00A45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1AFC3E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3.789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4BE2B7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1.817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455A9F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B2854B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1.924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B047B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BC1D8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61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C5D362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</w:t>
            </w:r>
          </w:p>
        </w:tc>
      </w:tr>
      <w:tr w:rsidR="00A457CF" w:rsidRPr="00AB35EF" w14:paraId="175F5D37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340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91DD" w14:textId="77777777" w:rsidR="00A457CF" w:rsidRDefault="00A457CF" w:rsidP="00A45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Lapac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BAF8B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A1C5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51C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8016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EE1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DA7A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47DE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</w:tr>
      <w:tr w:rsidR="00A457CF" w:rsidRPr="00AB35EF" w14:paraId="701D29E7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CD57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B96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Gospić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99030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2.163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D3AF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9C3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15BBE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74C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08C7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A8B6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138</w:t>
            </w:r>
          </w:p>
        </w:tc>
      </w:tr>
      <w:tr w:rsidR="00A457CF" w:rsidRPr="00AB35EF" w14:paraId="55D13682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7051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E65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Gračac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590A9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B605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AA6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7833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AAF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BC07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35CF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</w:tr>
      <w:tr w:rsidR="00A457CF" w:rsidRPr="00AB35EF" w14:paraId="1DB88F8B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277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5E1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6A318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1.195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C14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DBA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D609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738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35F4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C1BF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</w:p>
        </w:tc>
      </w:tr>
      <w:tr w:rsidR="00A457CF" w:rsidRPr="00AB35EF" w14:paraId="224B1582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9AAB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D6D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Otočac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DE722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2.239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8B03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C01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36F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DBE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6D54D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1E78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71</w:t>
            </w:r>
          </w:p>
        </w:tc>
      </w:tr>
      <w:tr w:rsidR="00A457CF" w:rsidRPr="00AB35EF" w14:paraId="29394C14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E761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AD5532" w14:textId="77777777" w:rsidR="00A457CF" w:rsidRDefault="00A457CF" w:rsidP="00A457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2AA3AA8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6.242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8EA30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2.573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D2542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6B1C16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139EF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2.979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B8334E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2.761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951AFE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218 </w:t>
            </w:r>
          </w:p>
        </w:tc>
      </w:tr>
      <w:tr w:rsidR="00A457CF" w:rsidRPr="00AB35EF" w14:paraId="274B7566" w14:textId="77777777" w:rsidTr="00C92ECD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1E3" w14:textId="77777777" w:rsidR="00A457CF" w:rsidRPr="00AB35EF" w:rsidRDefault="00A457CF" w:rsidP="00A45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B35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40B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Karlovac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EA4C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5.442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4246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2.493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599F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D5E5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2.594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8B2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622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47077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297</w:t>
            </w:r>
          </w:p>
        </w:tc>
      </w:tr>
      <w:tr w:rsidR="00A457CF" w:rsidRPr="00AB35EF" w14:paraId="6E6A7B5B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A0AD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F6C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Ogulin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78361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3.137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7DE8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D28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C72D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736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FED3C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CFBF3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361</w:t>
            </w:r>
          </w:p>
        </w:tc>
      </w:tr>
      <w:tr w:rsidR="00A457CF" w:rsidRPr="00AB35EF" w14:paraId="4B9BBB20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4959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566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Ozalj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5617D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1.002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9E6EE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0F3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E0AF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CED0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E6CA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BC6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</w:t>
            </w:r>
          </w:p>
        </w:tc>
      </w:tr>
      <w:tr w:rsidR="00A457CF" w:rsidRPr="00AB35EF" w14:paraId="6EBE232C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9B6F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EDF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Slunj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87124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1.216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93CE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61E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FED41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A6A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E94C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D8C5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</w:t>
            </w:r>
          </w:p>
        </w:tc>
      </w:tr>
      <w:tr w:rsidR="00A457CF" w:rsidRPr="00AB35EF" w14:paraId="7734AF90" w14:textId="77777777" w:rsidTr="00C92ECD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3DF5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3EE" w14:textId="77777777" w:rsidR="00A457CF" w:rsidRDefault="00A457CF" w:rsidP="00A457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Vojnić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E695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sz w:val="22"/>
                <w:szCs w:val="22"/>
              </w:rPr>
              <w:t>662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AA2CB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1638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53F54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6352" w14:textId="77777777" w:rsidR="00A457CF" w:rsidRDefault="00A457CF" w:rsidP="00A457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DE02F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E4909" w14:textId="77777777" w:rsidR="00A457CF" w:rsidRDefault="00A457CF" w:rsidP="00A457C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21</w:t>
            </w:r>
          </w:p>
        </w:tc>
      </w:tr>
      <w:tr w:rsidR="00A457CF" w:rsidRPr="00DC711A" w14:paraId="7433C257" w14:textId="77777777" w:rsidTr="00E510A8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A96" w14:textId="77777777" w:rsidR="00A457CF" w:rsidRPr="00AB35EF" w:rsidRDefault="00A457CF" w:rsidP="00A45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AE9F53" w14:textId="77777777" w:rsidR="00A457CF" w:rsidRDefault="00A457CF" w:rsidP="00A457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22FD07" w14:textId="77777777" w:rsidR="00A457CF" w:rsidRPr="00A457CF" w:rsidRDefault="00A457CF" w:rsidP="00A457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7CF">
              <w:rPr>
                <w:rFonts w:asciiTheme="minorHAnsi" w:hAnsiTheme="minorHAnsi" w:cstheme="minorHAnsi"/>
                <w:b/>
                <w:sz w:val="22"/>
                <w:szCs w:val="22"/>
              </w:rPr>
              <w:t>11.459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51F97D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DD2BAA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1113E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4.394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5F545B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342948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1.981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20A3AB" w14:textId="77777777" w:rsidR="00A457CF" w:rsidRDefault="00A457CF" w:rsidP="00A457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708 </w:t>
            </w:r>
          </w:p>
        </w:tc>
      </w:tr>
    </w:tbl>
    <w:p w14:paraId="00B3811D" w14:textId="77777777" w:rsidR="00C20F15" w:rsidRPr="00E900B4" w:rsidRDefault="00C20F15" w:rsidP="00AB35EF">
      <w:pPr>
        <w:jc w:val="center"/>
        <w:rPr>
          <w:rFonts w:asciiTheme="minorHAnsi" w:hAnsiTheme="minorHAnsi" w:cstheme="minorHAnsi"/>
          <w:sz w:val="22"/>
          <w:szCs w:val="22"/>
        </w:rPr>
        <w:sectPr w:rsidR="00C20F15" w:rsidRPr="00E900B4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83"/>
        <w:gridCol w:w="1385"/>
        <w:gridCol w:w="851"/>
        <w:gridCol w:w="1138"/>
        <w:gridCol w:w="992"/>
        <w:gridCol w:w="992"/>
        <w:gridCol w:w="992"/>
        <w:gridCol w:w="993"/>
        <w:gridCol w:w="992"/>
      </w:tblGrid>
      <w:tr w:rsidR="0056559C" w:rsidRPr="00734A3E" w14:paraId="70014F41" w14:textId="77777777" w:rsidTr="00C92ECD">
        <w:trPr>
          <w:trHeight w:val="99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6CF29B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A3D935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7D0B4BB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</w:t>
            </w:r>
            <w:proofErr w:type="spellStart"/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</w:t>
            </w:r>
            <w:proofErr w:type="spellEnd"/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CB25FCC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7211E43B" w14:textId="77777777" w:rsidR="0056559C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             </w:t>
            </w:r>
          </w:p>
          <w:p w14:paraId="336DA472" w14:textId="77777777" w:rsidR="0056559C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Bez </w:t>
            </w:r>
            <w:r w:rsidR="00D10A2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rješavanja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04A6A61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1DFD139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734A3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26A4435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1C7908D" w14:textId="77777777" w:rsidR="0056559C" w:rsidRPr="00734A3E" w:rsidRDefault="0056559C" w:rsidP="00734A3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734A3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AB6805" w:rsidRPr="00734A3E" w14:paraId="17F03544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F3D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677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F7E15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4D713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DFDF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86465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7699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8162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A501D" w14:textId="77777777" w:rsidR="00AB6805" w:rsidRDefault="00AB6805" w:rsidP="00AB6805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816</w:t>
            </w:r>
          </w:p>
        </w:tc>
      </w:tr>
      <w:tr w:rsidR="00AB6805" w:rsidRPr="00734A3E" w14:paraId="2101ABCC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252D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763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EB42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3.221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1A53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FF2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688B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8C4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9926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2256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174</w:t>
            </w:r>
          </w:p>
        </w:tc>
      </w:tr>
      <w:tr w:rsidR="00AB6805" w:rsidRPr="00734A3E" w14:paraId="590461F0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809B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DAAFCC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96F7C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5.403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AB8E5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816B4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FEBA9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4A489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CFB91A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FCD1A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990 </w:t>
            </w:r>
          </w:p>
        </w:tc>
      </w:tr>
      <w:tr w:rsidR="00AB6805" w:rsidRPr="00734A3E" w14:paraId="2EE20599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5B5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4B59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70D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0F9D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6C0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ABE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47B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4FC2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9F32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101</w:t>
            </w:r>
          </w:p>
        </w:tc>
      </w:tr>
      <w:tr w:rsidR="00AB6805" w:rsidRPr="00734A3E" w14:paraId="281FBAA2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DA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0714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B4AB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BD5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4DC2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E138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737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A905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154D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167</w:t>
            </w:r>
          </w:p>
        </w:tc>
      </w:tr>
      <w:tr w:rsidR="00AB6805" w:rsidRPr="00734A3E" w14:paraId="11EED81F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911F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73BEA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237D4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84A63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E982E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4F48C9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A80656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07D76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DE5850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268 </w:t>
            </w:r>
          </w:p>
        </w:tc>
      </w:tr>
      <w:tr w:rsidR="00AB6805" w:rsidRPr="00734A3E" w14:paraId="2E6B1F5D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5B0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6BCD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B470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1A4A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4A5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C3FC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905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7010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00B3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265</w:t>
            </w:r>
          </w:p>
        </w:tc>
      </w:tr>
      <w:tr w:rsidR="00AB6805" w:rsidRPr="00734A3E" w14:paraId="214ACDEC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937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A94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74D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0563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18C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745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F2D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81BB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D33D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367</w:t>
            </w:r>
          </w:p>
        </w:tc>
      </w:tr>
      <w:tr w:rsidR="00AB6805" w:rsidRPr="00734A3E" w14:paraId="26B4E48B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924D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B7D52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E39B77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3.304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CFF4A0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E89A8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C34C9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01C86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71F8E7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1.914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66757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632 </w:t>
            </w:r>
          </w:p>
        </w:tc>
      </w:tr>
      <w:tr w:rsidR="00AB6805" w:rsidRPr="00734A3E" w14:paraId="2E1D143A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693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A339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6F9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3.023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7C77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B477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1FA6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D8A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53DB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D597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180</w:t>
            </w:r>
          </w:p>
        </w:tc>
      </w:tr>
      <w:tr w:rsidR="00AB6805" w:rsidRPr="00734A3E" w14:paraId="64741F8F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62F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FCFF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086E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3EB3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5A2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35F9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DA0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724E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F43A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</w:t>
            </w:r>
          </w:p>
        </w:tc>
      </w:tr>
      <w:tr w:rsidR="00AB6805" w:rsidRPr="00734A3E" w14:paraId="0CF5392E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9760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1B2354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27251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3.619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C7639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45399B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FB24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27CFE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60610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784B7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190 </w:t>
            </w:r>
          </w:p>
        </w:tc>
      </w:tr>
      <w:tr w:rsidR="00AB6805" w:rsidRPr="00734A3E" w14:paraId="1BB46C5D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EB9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9DDA" w14:textId="77777777" w:rsidR="00AB6805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Jastrebarsko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161F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88CF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7F3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ED28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361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7625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4DC4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134</w:t>
            </w:r>
          </w:p>
        </w:tc>
      </w:tr>
      <w:tr w:rsidR="00AB6805" w:rsidRPr="00734A3E" w14:paraId="5D7A087D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EF5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5F87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Novi Zagreb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0A81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C6EE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7DF9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8D8B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441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7D46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BE19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151</w:t>
            </w:r>
          </w:p>
        </w:tc>
      </w:tr>
      <w:tr w:rsidR="00AB6805" w:rsidRPr="00734A3E" w14:paraId="31D0DB74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AE3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FA63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Samobor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6C3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2.838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EB2C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6D1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7A3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DF9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23A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6E8E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106</w:t>
            </w:r>
          </w:p>
        </w:tc>
      </w:tr>
      <w:tr w:rsidR="00AB6805" w:rsidRPr="00734A3E" w14:paraId="59B7B5C4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B135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FD59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Zaprešić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CF09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584C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9BA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4B9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95A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EEB7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69D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196</w:t>
            </w:r>
          </w:p>
        </w:tc>
      </w:tr>
      <w:tr w:rsidR="00AB6805" w:rsidRPr="00734A3E" w14:paraId="4D7FB3DE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129E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81F3F" w14:textId="77777777" w:rsidR="00AB6805" w:rsidRDefault="00AB6805" w:rsidP="00AB68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83AAC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9.458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3C3810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3FA37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FDEE7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744B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A429F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EB1B3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587 </w:t>
            </w:r>
          </w:p>
        </w:tc>
      </w:tr>
      <w:tr w:rsidR="00AB6805" w:rsidRPr="00734A3E" w14:paraId="6D474C45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FE7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C1C" w14:textId="77777777" w:rsidR="00AB6805" w:rsidRPr="00AB0C51" w:rsidRDefault="00AB6805" w:rsidP="00AB68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Beli</w:t>
            </w:r>
            <w:proofErr w:type="spellEnd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Manastir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1C3D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22B3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3C0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9420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935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FE63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FEA9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</w:tr>
      <w:tr w:rsidR="00AB6805" w:rsidRPr="00734A3E" w14:paraId="789612A9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F178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2EC" w14:textId="77777777" w:rsidR="00AB6805" w:rsidRPr="00AB0C51" w:rsidRDefault="00AB6805" w:rsidP="00AB68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Donji</w:t>
            </w:r>
            <w:proofErr w:type="spellEnd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Miholjac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E718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6C8F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CC7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8495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831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8474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2F3F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</w:p>
        </w:tc>
      </w:tr>
      <w:tr w:rsidR="00AB6805" w:rsidRPr="00734A3E" w14:paraId="6B0E8DEB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C59F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31B7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01D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2.909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C409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E1B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EACF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0DA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F2AB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6A75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14</w:t>
            </w:r>
          </w:p>
        </w:tc>
      </w:tr>
      <w:tr w:rsidR="00AB6805" w:rsidRPr="00734A3E" w14:paraId="65241125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5DFE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A939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Valpovo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1C24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FE1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E087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8078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FD1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51F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45F2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</w:tr>
      <w:tr w:rsidR="00AB6805" w:rsidRPr="00734A3E" w14:paraId="5646AD9B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A371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34E836" w14:textId="77777777" w:rsidR="00AB6805" w:rsidRDefault="00AB6805" w:rsidP="00AB68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BD485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8.403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8E157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D95B0E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86FB1B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5C1E8A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0C64E9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7EAC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 </w:t>
            </w:r>
          </w:p>
        </w:tc>
      </w:tr>
      <w:tr w:rsidR="00AB6805" w:rsidRPr="00734A3E" w14:paraId="514E5178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0ED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85CC" w14:textId="77777777" w:rsidR="00AB6805" w:rsidRDefault="00AB6805" w:rsidP="00AB680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Buje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0CD2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A6C0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A70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702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0DC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FC9C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C0D7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316</w:t>
            </w:r>
          </w:p>
        </w:tc>
      </w:tr>
      <w:tr w:rsidR="00AB6805" w:rsidRPr="00734A3E" w14:paraId="55A8165A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595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066D" w14:textId="77777777" w:rsidR="00AB6805" w:rsidRDefault="00AB6805" w:rsidP="00AB680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Buzet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83B9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21DD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A33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8F32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645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A93F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E25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AB6805" w:rsidRPr="00734A3E" w14:paraId="003D2EE8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4B3F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96D7B" w14:textId="77777777" w:rsidR="00AB6805" w:rsidRDefault="00AB6805" w:rsidP="00AB68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Labin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9C70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1.692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4112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1FC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A827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FEC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C9D9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65E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98</w:t>
            </w:r>
          </w:p>
        </w:tc>
      </w:tr>
      <w:tr w:rsidR="00AB6805" w:rsidRPr="00734A3E" w14:paraId="3ECD5C26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18B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B23B" w14:textId="77777777" w:rsidR="00AB6805" w:rsidRDefault="00AB6805" w:rsidP="00AB680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Pazin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E566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5868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01F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556C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4DD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ADFE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080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67</w:t>
            </w:r>
          </w:p>
        </w:tc>
      </w:tr>
      <w:tr w:rsidR="00AB6805" w:rsidRPr="00734A3E" w14:paraId="5D423E47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2A9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6AD3" w14:textId="77777777" w:rsidR="00AB6805" w:rsidRDefault="00AB6805" w:rsidP="00AB68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Poreč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6FD0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6410C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501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F370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FBF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5B08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73C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131</w:t>
            </w:r>
          </w:p>
        </w:tc>
      </w:tr>
      <w:tr w:rsidR="00AB6805" w:rsidRPr="00734A3E" w14:paraId="1CFFA678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061B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630B41" w14:textId="77777777" w:rsidR="00AB6805" w:rsidRDefault="00AB6805" w:rsidP="00AB68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B3A776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10.276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2C3474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E5372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80E9E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99C82A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0C228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4.351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55CA3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642 </w:t>
            </w:r>
          </w:p>
        </w:tc>
      </w:tr>
      <w:tr w:rsidR="00AB6805" w:rsidRPr="00734A3E" w14:paraId="11179C8D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77D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B3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08C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2C92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18A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ECAA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B47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5623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4E2A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328</w:t>
            </w:r>
          </w:p>
        </w:tc>
      </w:tr>
      <w:tr w:rsidR="00AB6805" w:rsidRPr="00734A3E" w14:paraId="4B38C2A8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113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D840E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AFD1D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3.551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13281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F69AA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98DD4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6CCA94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43993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1A3E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328 </w:t>
            </w:r>
          </w:p>
        </w:tc>
      </w:tr>
      <w:tr w:rsidR="00AB6805" w:rsidRPr="00734A3E" w14:paraId="6859940D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1A7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FB7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C067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1256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B06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3927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F09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6DF79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80B6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84</w:t>
            </w:r>
          </w:p>
        </w:tc>
      </w:tr>
      <w:tr w:rsidR="00AB6805" w:rsidRPr="00734A3E" w14:paraId="2C0E6836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B4AD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7A7" w14:textId="77777777" w:rsidR="00AB6805" w:rsidRPr="00734A3E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BD3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1.841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4902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C41D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2833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F0C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10E2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8D98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</w:t>
            </w:r>
          </w:p>
        </w:tc>
      </w:tr>
      <w:tr w:rsidR="00AB6805" w:rsidRPr="00734A3E" w14:paraId="1842C2AC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BABB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C86CFA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992E1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5.881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54965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18177E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4A03BA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7DF74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4FADA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98214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103 </w:t>
            </w:r>
          </w:p>
        </w:tc>
      </w:tr>
      <w:tr w:rsidR="00AB6805" w:rsidRPr="00734A3E" w14:paraId="024D644C" w14:textId="77777777" w:rsidTr="00C92ECD">
        <w:trPr>
          <w:trHeight w:val="30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FCC" w14:textId="77777777" w:rsidR="00AB6805" w:rsidRPr="00734A3E" w:rsidRDefault="00AB6805" w:rsidP="00AB6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34A3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19B" w14:textId="77777777" w:rsidR="00AB6805" w:rsidRDefault="00AB6805" w:rsidP="00AB68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Čabar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211B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FAF7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A60F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782C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076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5BE9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DFF0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</w:tr>
      <w:tr w:rsidR="00AB6805" w:rsidRPr="00734A3E" w14:paraId="35B101C4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664A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BF1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Delnice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B08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61C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15D7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B801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AE60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75F6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098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164</w:t>
            </w:r>
          </w:p>
        </w:tc>
      </w:tr>
      <w:tr w:rsidR="00AB6805" w:rsidRPr="00734A3E" w14:paraId="5B681237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9CD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89E6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Lošinj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21E8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2.606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B444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C955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6998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574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9A98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8F05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169</w:t>
            </w:r>
          </w:p>
        </w:tc>
      </w:tr>
      <w:tr w:rsidR="00AB6805" w:rsidRPr="00734A3E" w14:paraId="7C3A0C14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A10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8BD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Opatija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224B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3.984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7EB0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F73BB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7BC33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E6B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DD8EF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8315A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157</w:t>
            </w:r>
          </w:p>
        </w:tc>
      </w:tr>
      <w:tr w:rsidR="00AB6805" w:rsidRPr="00734A3E" w14:paraId="36704C1B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8EB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0BD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2C5A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687F1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F95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EB7A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34B2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A5EE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71C94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501</w:t>
            </w:r>
          </w:p>
        </w:tc>
      </w:tr>
      <w:tr w:rsidR="00AB6805" w:rsidRPr="00734A3E" w14:paraId="039BB7BE" w14:textId="77777777" w:rsidTr="00C92ECD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8D8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290" w14:textId="77777777" w:rsidR="00AB6805" w:rsidRDefault="00AB6805" w:rsidP="00AB68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Vrbovsko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79BB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D874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CB4A6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FAC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8027" w14:textId="77777777" w:rsidR="00AB6805" w:rsidRDefault="00AB6805" w:rsidP="00AB68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84C88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CDA9E" w14:textId="77777777" w:rsidR="00AB6805" w:rsidRDefault="00AB6805" w:rsidP="00AB6805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</w:tr>
      <w:tr w:rsidR="00AB6805" w:rsidRPr="00734A3E" w14:paraId="2F8C37E2" w14:textId="77777777" w:rsidTr="00E510A8">
        <w:trPr>
          <w:trHeight w:val="30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AD6C" w14:textId="77777777" w:rsidR="00AB6805" w:rsidRPr="00734A3E" w:rsidRDefault="00AB6805" w:rsidP="00AB68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DDC0F4" w14:textId="77777777" w:rsidR="00AB6805" w:rsidRPr="00DC711A" w:rsidRDefault="00AB6805" w:rsidP="00AB68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03DBC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15.384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8D411F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080459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BAC1D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26AFF3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38C7D4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4.677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5705F5" w14:textId="77777777" w:rsidR="00AB6805" w:rsidRDefault="00AB6805" w:rsidP="00AB680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1.002 </w:t>
            </w:r>
          </w:p>
        </w:tc>
      </w:tr>
    </w:tbl>
    <w:p w14:paraId="3148B590" w14:textId="77777777" w:rsidR="005323F6" w:rsidRPr="00E900B4" w:rsidRDefault="005323F6" w:rsidP="005323F6">
      <w:pPr>
        <w:rPr>
          <w:rFonts w:asciiTheme="minorHAnsi" w:hAnsiTheme="minorHAnsi" w:cstheme="minorHAnsi"/>
          <w:sz w:val="22"/>
          <w:szCs w:val="22"/>
        </w:rPr>
      </w:pPr>
    </w:p>
    <w:p w14:paraId="4D6A34B2" w14:textId="77777777" w:rsidR="005323F6" w:rsidRPr="00E900B4" w:rsidRDefault="005323F6" w:rsidP="005323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30"/>
        <w:gridCol w:w="1447"/>
        <w:gridCol w:w="289"/>
        <w:gridCol w:w="833"/>
        <w:gridCol w:w="1004"/>
        <w:gridCol w:w="898"/>
        <w:gridCol w:w="973"/>
        <w:gridCol w:w="980"/>
        <w:gridCol w:w="968"/>
        <w:gridCol w:w="889"/>
      </w:tblGrid>
      <w:tr w:rsidR="00C25DD5" w:rsidRPr="00291EA6" w14:paraId="281180B9" w14:textId="77777777" w:rsidTr="00C92ECD">
        <w:trPr>
          <w:trHeight w:val="99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747344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476F967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34ACE70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</w:t>
            </w:r>
            <w:proofErr w:type="spellStart"/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</w:t>
            </w:r>
            <w:proofErr w:type="spellEnd"/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7DE9FB8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52A2013A" w14:textId="77777777" w:rsidR="00D10A2F" w:rsidRPr="00A82AAA" w:rsidRDefault="00D10A2F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val="hr-HR"/>
              </w:rPr>
            </w:pPr>
            <w:r w:rsidRPr="00A82AAA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val="hr-HR"/>
              </w:rPr>
              <w:t xml:space="preserve">   </w:t>
            </w:r>
          </w:p>
          <w:p w14:paraId="2C15EE6E" w14:textId="77777777" w:rsidR="0056559C" w:rsidRPr="00296953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695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Bez rješavanja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068BC10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D03A44E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291EA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FC30CCA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8CE9405" w14:textId="77777777" w:rsidR="0056559C" w:rsidRPr="00291EA6" w:rsidRDefault="0056559C" w:rsidP="00291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291EA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1477BD" w:rsidRPr="00291EA6" w14:paraId="4923B018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0B41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0927B" w14:textId="77777777" w:rsidR="001477BD" w:rsidRPr="008F1F2E" w:rsidRDefault="001477BD" w:rsidP="001477B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F1F2E">
              <w:rPr>
                <w:rFonts w:ascii="Calibri" w:hAnsi="Calibri" w:cs="Calibri"/>
                <w:sz w:val="22"/>
                <w:szCs w:val="22"/>
              </w:rPr>
              <w:t>elo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058AB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2.195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665BF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311E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38D9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945A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83164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484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B83FF" w14:textId="77777777" w:rsidR="001477BD" w:rsidRDefault="001477BD" w:rsidP="001477BD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</w:tr>
      <w:tr w:rsidR="001477BD" w:rsidRPr="00291EA6" w14:paraId="71D185E2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561E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AF16" w14:textId="77777777" w:rsidR="001477BD" w:rsidRPr="008F1F2E" w:rsidRDefault="001477BD" w:rsidP="001477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F1F2E">
              <w:rPr>
                <w:rFonts w:ascii="Calibri" w:hAnsi="Calibri" w:cs="Calibri"/>
                <w:sz w:val="22"/>
                <w:szCs w:val="22"/>
              </w:rPr>
              <w:t>esvete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CD84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2DEC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871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C3ED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8EC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C1A4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8A8D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67</w:t>
            </w:r>
          </w:p>
        </w:tc>
      </w:tr>
      <w:tr w:rsidR="001477BD" w:rsidRPr="00291EA6" w14:paraId="0802533C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2A36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1DE1" w14:textId="77777777" w:rsidR="001477BD" w:rsidRPr="008F1F2E" w:rsidRDefault="001477BD" w:rsidP="001477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Sveti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Ivan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8F1F2E">
              <w:rPr>
                <w:rFonts w:ascii="Calibri" w:hAnsi="Calibri" w:cs="Calibri"/>
                <w:sz w:val="22"/>
                <w:szCs w:val="22"/>
              </w:rPr>
              <w:t>elina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1066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0343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6A7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219F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3F4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9F23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CF72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105</w:t>
            </w:r>
          </w:p>
        </w:tc>
      </w:tr>
      <w:tr w:rsidR="001477BD" w:rsidRPr="00291EA6" w14:paraId="6D4B4C8B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E3E3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530F" w14:textId="77777777" w:rsidR="001477BD" w:rsidRPr="008F1F2E" w:rsidRDefault="001477BD" w:rsidP="001477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8F1F2E">
              <w:rPr>
                <w:rFonts w:ascii="Calibri" w:hAnsi="Calibri" w:cs="Calibri"/>
                <w:sz w:val="22"/>
                <w:szCs w:val="22"/>
              </w:rPr>
              <w:t>rbovec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D26E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9B46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A700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9184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5F0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8383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FB1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53</w:t>
            </w:r>
          </w:p>
        </w:tc>
      </w:tr>
      <w:tr w:rsidR="001477BD" w:rsidRPr="00291EA6" w14:paraId="6849606D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557F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0E3A6" w14:textId="77777777" w:rsidR="001477BD" w:rsidRPr="008F1F2E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FA0A2F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11.614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56D5D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15CC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F12FE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C6D907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1.639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80B8EA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1.412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42948A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227 </w:t>
            </w:r>
          </w:p>
        </w:tc>
      </w:tr>
      <w:tr w:rsidR="001477BD" w:rsidRPr="00291EA6" w14:paraId="502C26BE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DD2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487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vor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2C6D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22FC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5FE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CF77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E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CDA7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64D3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122</w:t>
            </w:r>
          </w:p>
        </w:tc>
      </w:tr>
      <w:tr w:rsidR="001477BD" w:rsidRPr="00291EA6" w14:paraId="14CE9C10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2DFA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954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lina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5E64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2.280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F5B6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5EB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7E28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254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765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9445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329</w:t>
            </w:r>
          </w:p>
        </w:tc>
      </w:tr>
      <w:tr w:rsidR="001477BD" w:rsidRPr="00291EA6" w14:paraId="195EE725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3F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034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vozd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3288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4DD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EA4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3961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DAF2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C6EC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27B3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201</w:t>
            </w:r>
          </w:p>
        </w:tc>
      </w:tr>
      <w:tr w:rsidR="001477BD" w:rsidRPr="00291EA6" w14:paraId="31A15CCE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650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D06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K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ostajnica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1B9F2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7620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ED6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8651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8AC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046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B087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82</w:t>
            </w:r>
          </w:p>
        </w:tc>
      </w:tr>
      <w:tr w:rsidR="001477BD" w:rsidRPr="00291EA6" w14:paraId="51E9DE80" w14:textId="77777777" w:rsidTr="00C92ECD">
        <w:trPr>
          <w:trHeight w:val="167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29EC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978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etrinja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B060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1.795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4092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BEC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3409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B7F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7DB3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1A31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188</w:t>
            </w:r>
          </w:p>
        </w:tc>
      </w:tr>
      <w:tr w:rsidR="001477BD" w:rsidRPr="00291EA6" w14:paraId="7DBA309F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C31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D74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isak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E3DE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9637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ADF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2A4A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A98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E6F6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36E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224</w:t>
            </w:r>
          </w:p>
        </w:tc>
      </w:tr>
      <w:tr w:rsidR="001477BD" w:rsidRPr="00291EA6" w14:paraId="1FFD95B5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50A0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69F68B" w14:textId="77777777" w:rsidR="001477BD" w:rsidRPr="008F1F2E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42C6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10.264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C859A4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4.154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23A37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329F5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3.870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AD5D0B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D73BF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3A1A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1.146 </w:t>
            </w:r>
          </w:p>
        </w:tc>
      </w:tr>
      <w:tr w:rsidR="001477BD" w:rsidRPr="00291EA6" w14:paraId="237CA1B2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E7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BF1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radiška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6973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3EA9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023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FBDC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936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37FB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6F97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</w:t>
            </w:r>
          </w:p>
        </w:tc>
      </w:tr>
      <w:tr w:rsidR="001477BD" w:rsidRPr="00291EA6" w14:paraId="56F2E274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F93C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F40" w14:textId="77777777" w:rsidR="001477BD" w:rsidRPr="008F1F2E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8F1F2E">
              <w:rPr>
                <w:rFonts w:ascii="Calibri" w:hAnsi="Calibri" w:cs="Calibri"/>
                <w:color w:val="000000"/>
                <w:sz w:val="22"/>
                <w:szCs w:val="22"/>
              </w:rPr>
              <w:t>rod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1DF3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D093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3A5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6717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320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FE6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C966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321</w:t>
            </w:r>
          </w:p>
        </w:tc>
      </w:tr>
      <w:tr w:rsidR="001477BD" w:rsidRPr="00291EA6" w14:paraId="2597B0B1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1B4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A4E002" w14:textId="77777777" w:rsidR="001477BD" w:rsidRPr="008F1F2E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2697F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5.487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05EC86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FC426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2495C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4.044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9216E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5ABE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104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20EFAD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325 </w:t>
            </w:r>
          </w:p>
        </w:tc>
      </w:tr>
      <w:tr w:rsidR="001477BD" w:rsidRPr="00291EA6" w14:paraId="41C720FC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EE8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47F" w14:textId="77777777" w:rsidR="001477BD" w:rsidRDefault="001477BD" w:rsidP="001477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Lukšić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8EA4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0DDA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B93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279D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783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6800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1239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B159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544</w:t>
            </w:r>
          </w:p>
        </w:tc>
      </w:tr>
      <w:tr w:rsidR="001477BD" w:rsidRPr="00291EA6" w14:paraId="1FDB9680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3E10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F7A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E8FA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2.553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8985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9D3D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0D7D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386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3B7B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B65C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531</w:t>
            </w:r>
          </w:p>
        </w:tc>
      </w:tr>
      <w:tr w:rsidR="001477BD" w:rsidRPr="00291EA6" w14:paraId="43E21080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69DE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3A6C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113B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5.940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EC64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4C8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E71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C0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85CC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552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B8DF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380</w:t>
            </w:r>
          </w:p>
        </w:tc>
      </w:tr>
      <w:tr w:rsidR="001477BD" w:rsidRPr="00291EA6" w14:paraId="2D3BF939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B2F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E5D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A5C0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9550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E6B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0FF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E9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3709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4577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724</w:t>
            </w:r>
          </w:p>
        </w:tc>
      </w:tr>
      <w:tr w:rsidR="001477BD" w:rsidRPr="00291EA6" w14:paraId="5A0FF670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1C0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EFC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8B35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5.763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405F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4.475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936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9DC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4.195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59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67FB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4119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DDAC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1708</w:t>
            </w:r>
          </w:p>
        </w:tc>
      </w:tr>
      <w:tr w:rsidR="001477BD" w:rsidRPr="00291EA6" w14:paraId="752258D4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C37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88A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grad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828D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2.444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295D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4B7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85B6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DD8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D417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462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609C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156</w:t>
            </w:r>
          </w:p>
        </w:tc>
      </w:tr>
      <w:tr w:rsidR="001477BD" w:rsidRPr="00291EA6" w14:paraId="31319ACF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C40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366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D9A2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803E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806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9B91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E4F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5DA7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2451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B791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1117</w:t>
            </w:r>
          </w:p>
        </w:tc>
      </w:tr>
      <w:tr w:rsidR="001477BD" w:rsidRPr="00291EA6" w14:paraId="099B9677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D23C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C3D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5ADF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2.320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240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73C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D01C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94B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2.365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A380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31F7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989</w:t>
            </w:r>
          </w:p>
        </w:tc>
      </w:tr>
      <w:tr w:rsidR="001477BD" w:rsidRPr="00291EA6" w14:paraId="4C454D7A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127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196B1F" w14:textId="77777777" w:rsidR="001477BD" w:rsidRPr="00DC711A" w:rsidRDefault="001477BD" w:rsidP="001477B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2F62D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25.441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EEF4F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12.856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38B067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41EE1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11.491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B1982C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17.831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27A254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11.682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8B6242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6.149 </w:t>
            </w:r>
          </w:p>
        </w:tc>
      </w:tr>
      <w:tr w:rsidR="001477BD" w:rsidRPr="00291EA6" w14:paraId="60DC9795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072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810" w14:textId="77777777" w:rsidR="001477BD" w:rsidRDefault="001477BD" w:rsidP="001477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Drniš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FEB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2.061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1FE6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AC6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D65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A92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76C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D143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108</w:t>
            </w:r>
          </w:p>
        </w:tc>
      </w:tr>
      <w:tr w:rsidR="001477BD" w:rsidRPr="00291EA6" w14:paraId="4DF6B6E2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BAB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F1C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Knin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993A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2.486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6FB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5B27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BCB3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6E0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9C2F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9F91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206</w:t>
            </w:r>
          </w:p>
        </w:tc>
      </w:tr>
      <w:tr w:rsidR="001477BD" w:rsidRPr="00291EA6" w14:paraId="31D3E0DA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E4C8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69F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65A7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4.043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8B97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F828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EC0A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3.283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B3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741D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5B52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760</w:t>
            </w:r>
          </w:p>
        </w:tc>
      </w:tr>
      <w:tr w:rsidR="001477BD" w:rsidRPr="00291EA6" w14:paraId="35C40FA9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7CF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727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Tisno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153E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C544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0AB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945E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7BD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DBC4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D9D9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121</w:t>
            </w:r>
          </w:p>
        </w:tc>
      </w:tr>
      <w:tr w:rsidR="001477BD" w:rsidRPr="00291EA6" w14:paraId="7A33BC50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A3C1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2C0964" w14:textId="77777777" w:rsidR="001477BD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7118D9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9.540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D2F64E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5.481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3FCE07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CFA52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4.721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FFB55E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DD95B6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2.904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C55AA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1.195 </w:t>
            </w:r>
          </w:p>
        </w:tc>
      </w:tr>
      <w:tr w:rsidR="001477BD" w:rsidRPr="00291EA6" w14:paraId="29877D3D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EBC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DF0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Ivanec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1794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1.859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6A8B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E52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ACD2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3B2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7B8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7F3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202</w:t>
            </w:r>
          </w:p>
        </w:tc>
      </w:tr>
      <w:tr w:rsidR="001477BD" w:rsidRPr="00291EA6" w14:paraId="44BE4AB2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4F7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548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Ludbreg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E8A3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8DEE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D3BD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D3F6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66B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3868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C5E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48</w:t>
            </w:r>
          </w:p>
        </w:tc>
      </w:tr>
      <w:tr w:rsidR="001477BD" w:rsidRPr="00291EA6" w14:paraId="5F492BD9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5A57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A6FB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Marof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4A9D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4.094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3D7C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94A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5F24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9AA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60B7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2349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230</w:t>
            </w:r>
          </w:p>
        </w:tc>
      </w:tr>
      <w:tr w:rsidR="001477BD" w:rsidRPr="00291EA6" w14:paraId="70354106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252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924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Varaždin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5A2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6.217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EFC8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2.213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C50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4516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2.136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179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7F1D3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4F4F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221</w:t>
            </w:r>
          </w:p>
        </w:tc>
      </w:tr>
      <w:tr w:rsidR="001477BD" w:rsidRPr="00291EA6" w14:paraId="285F1F2E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78F8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9A153" w14:textId="77777777" w:rsidR="001477BD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FEE830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13.601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1E36A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4.907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238DDF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06586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4.655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79A68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F67DB5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617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415B7A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701 </w:t>
            </w:r>
          </w:p>
        </w:tc>
      </w:tr>
      <w:tr w:rsidR="001477BD" w:rsidRPr="00291EA6" w14:paraId="068CEE2F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29A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54E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Ivanić Grad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108B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9079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5DA6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9002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BF39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CD7B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CFB9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</w:t>
            </w:r>
          </w:p>
        </w:tc>
      </w:tr>
      <w:tr w:rsidR="001477BD" w:rsidRPr="00291EA6" w14:paraId="066CA276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2D21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3B3" w14:textId="77777777" w:rsidR="001477BD" w:rsidRDefault="001477BD" w:rsidP="00147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BF56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664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A74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47C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6AB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E209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547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4EB1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178</w:t>
            </w:r>
          </w:p>
        </w:tc>
      </w:tr>
      <w:tr w:rsidR="001477BD" w:rsidRPr="00291EA6" w14:paraId="67E450C2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4410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BCE053" w14:textId="77777777" w:rsidR="001477BD" w:rsidRDefault="001477BD" w:rsidP="001477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F680B6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4.278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B46E34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2.377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F4A18D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E65DD7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2.170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ABCBF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7DBB4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613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546CF1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191 </w:t>
            </w:r>
          </w:p>
        </w:tc>
      </w:tr>
      <w:tr w:rsidR="001477BD" w:rsidRPr="00291EA6" w14:paraId="1C077522" w14:textId="77777777" w:rsidTr="00C92ECD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24E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DF88" w14:textId="77777777" w:rsidR="001477BD" w:rsidRPr="00291EA6" w:rsidRDefault="001477BD" w:rsidP="001477B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Otok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F2C0A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947FC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6BE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7899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0A7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F5711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BE6F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</w:tr>
      <w:tr w:rsidR="001477BD" w:rsidRPr="00291EA6" w14:paraId="74307A84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5B10" w14:textId="77777777" w:rsidR="001477BD" w:rsidRPr="00291EA6" w:rsidRDefault="001477BD" w:rsidP="001477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35A1D" w14:textId="77777777" w:rsidR="001477BD" w:rsidRPr="00291EA6" w:rsidRDefault="001477BD" w:rsidP="001477B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4FA8E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2.568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CE245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2BE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6D7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2.667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64D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3E30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1169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9835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27</w:t>
            </w:r>
          </w:p>
        </w:tc>
      </w:tr>
      <w:tr w:rsidR="001477BD" w:rsidRPr="00291EA6" w14:paraId="52536440" w14:textId="77777777" w:rsidTr="00C92ECD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8F6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4459" w14:textId="77777777" w:rsidR="001477BD" w:rsidRPr="00291EA6" w:rsidRDefault="001477BD" w:rsidP="001477B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1EA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DDFE7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2.349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37C08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13F4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C315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4D6" w14:textId="77777777" w:rsidR="001477BD" w:rsidRDefault="001477BD" w:rsidP="001477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DF95B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3FC4F" w14:textId="77777777" w:rsidR="001477BD" w:rsidRDefault="001477BD" w:rsidP="001477BD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</w:t>
            </w:r>
          </w:p>
        </w:tc>
      </w:tr>
      <w:tr w:rsidR="001477BD" w:rsidRPr="00291EA6" w14:paraId="07582F3F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756" w14:textId="77777777" w:rsidR="001477BD" w:rsidRPr="00291EA6" w:rsidRDefault="001477BD" w:rsidP="001477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11126" w14:textId="77777777" w:rsidR="001477BD" w:rsidRPr="00DC711A" w:rsidRDefault="001477BD" w:rsidP="001477B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1BAFA8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5.513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2E7322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2.812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03B48B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2267D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4.111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FB7C21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5B4FC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1.243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8D0DD3" w14:textId="77777777" w:rsidR="001477BD" w:rsidRDefault="001477BD" w:rsidP="001477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38 </w:t>
            </w:r>
          </w:p>
        </w:tc>
      </w:tr>
      <w:tr w:rsidR="00C25DD5" w:rsidRPr="00E425BB" w14:paraId="53736D0B" w14:textId="77777777" w:rsidTr="005F09F5">
        <w:trPr>
          <w:trHeight w:val="99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D194453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lastRenderedPageBreak/>
              <w:t>SUD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D5F0616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1793CFB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Izdano </w:t>
            </w:r>
            <w:proofErr w:type="spellStart"/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</w:t>
            </w:r>
            <w:proofErr w:type="spellEnd"/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3252B80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zaprimljeno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14027776" w14:textId="77777777" w:rsidR="00187CEB" w:rsidRPr="0085558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</w:p>
          <w:p w14:paraId="3DADB8EB" w14:textId="77777777" w:rsidR="00187CEB" w:rsidRPr="0085558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 xml:space="preserve"> </w:t>
            </w:r>
            <w:r w:rsidRPr="0085558B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val="hr-HR"/>
              </w:rPr>
              <w:t>Bez          rješavanja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C9BDB0C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22F46BC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Ukupno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 xml:space="preserve">neriješeni </w:t>
            </w: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AB958F0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>Neriješeni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redovni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395C354" w14:textId="77777777" w:rsidR="00187CEB" w:rsidRPr="00E425BB" w:rsidRDefault="00187CEB" w:rsidP="00E425B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t xml:space="preserve">Neriješeni 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 xml:space="preserve">posebni </w:t>
            </w:r>
            <w:r w:rsidRPr="00E425B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637E3B" w:rsidRPr="00E425BB" w14:paraId="2A93B50A" w14:textId="77777777" w:rsidTr="005F09F5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1ED5" w14:textId="77777777" w:rsidR="00637E3B" w:rsidRPr="00E425BB" w:rsidRDefault="00637E3B" w:rsidP="00637E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112" w14:textId="77777777" w:rsidR="00637E3B" w:rsidRDefault="00637E3B" w:rsidP="00637E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Orahovica</w:t>
            </w:r>
            <w:proofErr w:type="spellEnd"/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C2226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6F800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FCEE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803A2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617F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94AE1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A2C8" w14:textId="77777777" w:rsidR="00637E3B" w:rsidRDefault="00637E3B" w:rsidP="00637E3B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81</w:t>
            </w:r>
          </w:p>
        </w:tc>
      </w:tr>
      <w:tr w:rsidR="00637E3B" w:rsidRPr="00E425BB" w14:paraId="7AEA9EC9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710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721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Pitomača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B894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E035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1FC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AF28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3D4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76A0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5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</w:t>
            </w:r>
          </w:p>
        </w:tc>
      </w:tr>
      <w:tr w:rsidR="00637E3B" w:rsidRPr="00E425BB" w14:paraId="3A3D1592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8779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992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Slatina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C843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92DB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8E8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9D55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225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4B5E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4402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45</w:t>
            </w:r>
          </w:p>
        </w:tc>
      </w:tr>
      <w:tr w:rsidR="00637E3B" w:rsidRPr="00E425BB" w14:paraId="2BDD7376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4E0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01E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Virovitica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8D11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2.924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A0B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921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3040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61C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AC679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D112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</w:tr>
      <w:tr w:rsidR="00637E3B" w:rsidRPr="00E425BB" w14:paraId="6B118681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3A20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F9C9AC" w14:textId="77777777" w:rsidR="00637E3B" w:rsidRDefault="00637E3B" w:rsidP="00637E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BAA27A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7.349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7F7BC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2.765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E7EA32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106697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2.770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3C944F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12724A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19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B767AF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148 </w:t>
            </w:r>
          </w:p>
        </w:tc>
      </w:tr>
      <w:tr w:rsidR="00637E3B" w:rsidRPr="00E425BB" w14:paraId="4DB1CE39" w14:textId="77777777" w:rsidTr="005F09F5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EC37" w14:textId="77777777" w:rsidR="00637E3B" w:rsidRPr="00E425BB" w:rsidRDefault="00637E3B" w:rsidP="00637E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C71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Ilok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D195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0D8D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CAF7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34003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BB9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927B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55B7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</w:t>
            </w:r>
          </w:p>
        </w:tc>
      </w:tr>
      <w:tr w:rsidR="00637E3B" w:rsidRPr="00E425BB" w14:paraId="7502698F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482F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6FF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Vukovar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828E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1.963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5C53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8C2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9899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1C0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01EE5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E15A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53</w:t>
            </w:r>
          </w:p>
        </w:tc>
      </w:tr>
      <w:tr w:rsidR="00637E3B" w:rsidRPr="00E425BB" w14:paraId="2C6171F8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7960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753D68" w14:textId="77777777" w:rsidR="00637E3B" w:rsidRDefault="00637E3B" w:rsidP="00637E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1770E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2.392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011760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EA75B3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B213DE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1.337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B107B2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812A4F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59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0C8BB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57 </w:t>
            </w:r>
          </w:p>
        </w:tc>
      </w:tr>
      <w:tr w:rsidR="00637E3B" w:rsidRPr="00E425BB" w14:paraId="1009C5AB" w14:textId="77777777" w:rsidTr="005F09F5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E3D" w14:textId="77777777" w:rsidR="00637E3B" w:rsidRPr="00E425BB" w:rsidRDefault="00637E3B" w:rsidP="00637E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728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Benkovac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677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2.778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000F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0FE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9A4E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24E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F919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1991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52</w:t>
            </w:r>
          </w:p>
        </w:tc>
      </w:tr>
      <w:tr w:rsidR="00637E3B" w:rsidRPr="00E425BB" w14:paraId="49907F41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F634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4DC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n/m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7324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1DA3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3252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5DA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0F7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1E1E2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932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65</w:t>
            </w:r>
          </w:p>
        </w:tc>
      </w:tr>
      <w:tr w:rsidR="00637E3B" w:rsidRPr="00E425BB" w14:paraId="537E020E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BCC6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1CD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Obrovac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688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B362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47D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DC7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C25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5358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3BB1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</w:t>
            </w:r>
          </w:p>
        </w:tc>
      </w:tr>
      <w:tr w:rsidR="00637E3B" w:rsidRPr="00E425BB" w14:paraId="4435C6A5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79B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AF4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BEDB9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85D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A1BF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08A0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306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2.169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8A4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1898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1C1D5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271</w:t>
            </w:r>
          </w:p>
        </w:tc>
      </w:tr>
      <w:tr w:rsidR="00637E3B" w:rsidRPr="00E425BB" w14:paraId="7F3499BF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7F9B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B15" w14:textId="77777777" w:rsidR="00637E3B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1C1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6.964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0EEA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7.064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554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766E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6.406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705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3.189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DD3E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784F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1133</w:t>
            </w:r>
          </w:p>
        </w:tc>
      </w:tr>
      <w:tr w:rsidR="00637E3B" w:rsidRPr="00E425BB" w14:paraId="26D3C397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2010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9BA0B" w14:textId="77777777" w:rsidR="00637E3B" w:rsidRDefault="00637E3B" w:rsidP="00637E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32DC44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13.147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38CCE3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9.955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18D9BB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65A43C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8.974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5A5622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5.898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A72302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4.352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6B03C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1.546 </w:t>
            </w:r>
          </w:p>
        </w:tc>
      </w:tr>
      <w:tr w:rsidR="00637E3B" w:rsidRPr="00E425BB" w14:paraId="18F5FF3C" w14:textId="77777777" w:rsidTr="005F09F5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0DF" w14:textId="77777777" w:rsidR="00637E3B" w:rsidRPr="00E425BB" w:rsidRDefault="00637E3B" w:rsidP="00637E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CC3" w14:textId="77777777" w:rsidR="00637E3B" w:rsidRPr="00E425BB" w:rsidRDefault="00637E3B" w:rsidP="00637E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8ED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10.501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F71D9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5DF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46ED3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0E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F60D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4871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375A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4561</w:t>
            </w:r>
          </w:p>
        </w:tc>
      </w:tr>
      <w:tr w:rsidR="00637E3B" w:rsidRPr="00E425BB" w14:paraId="2D3D8D16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59AB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75C9CB" w14:textId="77777777" w:rsidR="00637E3B" w:rsidRPr="00DC711A" w:rsidRDefault="00637E3B" w:rsidP="00637E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B2DF7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10.501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AF1F91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15.886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5AD86A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2D3313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16.335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0D2E33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B2539D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4.871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3E75E5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4.561 </w:t>
            </w:r>
          </w:p>
        </w:tc>
      </w:tr>
      <w:tr w:rsidR="00637E3B" w:rsidRPr="00E425BB" w14:paraId="1C7A497A" w14:textId="77777777" w:rsidTr="005F09F5">
        <w:trPr>
          <w:trHeight w:val="30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5FE" w14:textId="77777777" w:rsidR="00637E3B" w:rsidRPr="00E425BB" w:rsidRDefault="00637E3B" w:rsidP="00637E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24F" w14:textId="77777777" w:rsidR="00637E3B" w:rsidRPr="00717DE6" w:rsidRDefault="00637E3B" w:rsidP="00637E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Donja</w:t>
            </w:r>
            <w:proofErr w:type="spellEnd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Stubica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2740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985E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07E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3BF4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D8C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A61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E178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152</w:t>
            </w:r>
          </w:p>
        </w:tc>
      </w:tr>
      <w:tr w:rsidR="00637E3B" w:rsidRPr="00E425BB" w14:paraId="42B5A159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8B37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1CE" w14:textId="77777777" w:rsidR="00637E3B" w:rsidRPr="00717DE6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Klanjec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8C7D8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7ABC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5799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735B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1B8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E6A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681FE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</w:t>
            </w:r>
          </w:p>
        </w:tc>
      </w:tr>
      <w:tr w:rsidR="00637E3B" w:rsidRPr="00E425BB" w14:paraId="0C5341A4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B663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2BF" w14:textId="77777777" w:rsidR="00637E3B" w:rsidRPr="00717DE6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Krapina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1E0F9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866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0DE02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1BC3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048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E0B9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E363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40</w:t>
            </w:r>
          </w:p>
        </w:tc>
      </w:tr>
      <w:tr w:rsidR="00637E3B" w:rsidRPr="00E425BB" w14:paraId="5FF8C5FA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D9B6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09B" w14:textId="77777777" w:rsidR="00637E3B" w:rsidRPr="00717DE6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Pregrada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3DCF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063E5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0735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24CE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184D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CFD2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9212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41</w:t>
            </w:r>
          </w:p>
        </w:tc>
      </w:tr>
      <w:tr w:rsidR="00637E3B" w:rsidRPr="00E425BB" w14:paraId="5F472EE1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039A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77B" w14:textId="77777777" w:rsidR="00637E3B" w:rsidRPr="00717DE6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Zabok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6E00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97E7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96290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73304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C7F1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37D2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7A3C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138</w:t>
            </w:r>
          </w:p>
        </w:tc>
      </w:tr>
      <w:tr w:rsidR="00637E3B" w:rsidRPr="00E425BB" w14:paraId="4FB841E7" w14:textId="77777777" w:rsidTr="005F09F5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5AD5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934" w14:textId="77777777" w:rsidR="00637E3B" w:rsidRPr="00717DE6" w:rsidRDefault="00637E3B" w:rsidP="00637E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2"/>
                <w:szCs w:val="22"/>
              </w:rPr>
              <w:t>Zlatar</w:t>
            </w:r>
            <w:proofErr w:type="spellEnd"/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F51F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8C59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805B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613F9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2D66" w14:textId="77777777" w:rsidR="00637E3B" w:rsidRDefault="00637E3B" w:rsidP="00637E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51EF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71A4A" w14:textId="77777777" w:rsidR="00637E3B" w:rsidRDefault="00637E3B" w:rsidP="00637E3B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63</w:t>
            </w:r>
          </w:p>
        </w:tc>
      </w:tr>
      <w:tr w:rsidR="00637E3B" w:rsidRPr="00E425BB" w14:paraId="2B06C806" w14:textId="77777777" w:rsidTr="000B0FAB">
        <w:trPr>
          <w:trHeight w:val="30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1D85" w14:textId="77777777" w:rsidR="00637E3B" w:rsidRPr="00E425BB" w:rsidRDefault="00637E3B" w:rsidP="00637E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0A7905" w14:textId="77777777" w:rsidR="00637E3B" w:rsidRPr="00DC711A" w:rsidRDefault="00637E3B" w:rsidP="00637E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711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D1787A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9.646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07BAFC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3.590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9D2725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F388DC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3.772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D658A1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130A3A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676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7C48EF" w14:textId="77777777" w:rsidR="00637E3B" w:rsidRDefault="00637E3B" w:rsidP="00637E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478 </w:t>
            </w:r>
          </w:p>
        </w:tc>
      </w:tr>
      <w:tr w:rsidR="0014567B" w:rsidRPr="00E425BB" w14:paraId="57D59C35" w14:textId="77777777" w:rsidTr="0014567B">
        <w:trPr>
          <w:trHeight w:val="641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3467CB" w14:textId="77777777" w:rsidR="0014567B" w:rsidRPr="00DC711A" w:rsidRDefault="0014567B" w:rsidP="0014567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25B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B7EB9DF" w14:textId="77777777" w:rsidR="0014567B" w:rsidRPr="00E33B46" w:rsidRDefault="00637E3B" w:rsidP="0014567B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val="hr-HR"/>
              </w:rPr>
              <w:t>264.576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7ADAC21" w14:textId="77777777" w:rsidR="0014567B" w:rsidRDefault="00637E3B" w:rsidP="00145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144.144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CB13B3D" w14:textId="77777777" w:rsidR="0014567B" w:rsidRPr="0014567B" w:rsidRDefault="00637E3B" w:rsidP="0014567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2.443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63A776A" w14:textId="77777777" w:rsidR="0014567B" w:rsidRPr="0014567B" w:rsidRDefault="00637E3B" w:rsidP="00637E3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141.726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C03F8D8" w14:textId="77777777" w:rsidR="0014567B" w:rsidRPr="0014567B" w:rsidRDefault="00637E3B" w:rsidP="0014567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77.129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F6E606A" w14:textId="77777777" w:rsidR="0014567B" w:rsidRPr="0014567B" w:rsidRDefault="00637E3B" w:rsidP="0014567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51.901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875BCB6" w14:textId="77777777" w:rsidR="0014567B" w:rsidRPr="0014567B" w:rsidRDefault="00637E3B" w:rsidP="0014567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25.228</w:t>
            </w:r>
          </w:p>
        </w:tc>
      </w:tr>
    </w:tbl>
    <w:p w14:paraId="38D69477" w14:textId="77777777" w:rsidR="002D7D93" w:rsidRDefault="002D7D93" w:rsidP="002D7D93"/>
    <w:p w14:paraId="1B0A72B3" w14:textId="77777777" w:rsidR="007B7FF4" w:rsidRPr="000D0901" w:rsidRDefault="00AF47C9" w:rsidP="0019447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2" w:name="_Toc95305677"/>
      <w:bookmarkStart w:id="23" w:name="_Toc53657404"/>
      <w:bookmarkStart w:id="24" w:name="_Toc70332799"/>
      <w:proofErr w:type="spellStart"/>
      <w:r>
        <w:rPr>
          <w:rFonts w:asciiTheme="minorHAnsi" w:hAnsiTheme="minorHAnsi" w:cstheme="minorHAnsi"/>
          <w:sz w:val="22"/>
          <w:szCs w:val="22"/>
        </w:rPr>
        <w:t>Uveden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stupac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7B7FF4" w:rsidRPr="000D0901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="007B7FF4" w:rsidRPr="000D090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7B7FF4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7FF4" w:rsidRPr="000D0901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="007B7FF4" w:rsidRPr="000D0901">
        <w:rPr>
          <w:rFonts w:asciiTheme="minorHAnsi" w:hAnsiTheme="minorHAnsi" w:cstheme="minorHAnsi"/>
          <w:sz w:val="22"/>
          <w:szCs w:val="22"/>
        </w:rPr>
        <w:t xml:space="preserve"> koji</w:t>
      </w:r>
      <w:bookmarkEnd w:id="22"/>
      <w:r w:rsidR="00264EE9" w:rsidRPr="000D0901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="00264EE9" w:rsidRPr="000D0901"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 w:rsidR="00264EE9" w:rsidRPr="000D090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3E68" w:rsidRPr="000D0901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="00A03E68" w:rsidRPr="000D0901">
        <w:rPr>
          <w:rFonts w:asciiTheme="minorHAnsi" w:hAnsiTheme="minorHAnsi" w:cstheme="minorHAnsi"/>
          <w:sz w:val="22"/>
          <w:szCs w:val="22"/>
        </w:rPr>
        <w:t>.</w:t>
      </w:r>
    </w:p>
    <w:p w14:paraId="7ADEEBDB" w14:textId="77777777" w:rsidR="00A03E68" w:rsidRPr="000D0901" w:rsidRDefault="00A03E68" w:rsidP="001944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B1E8D" w14:textId="77777777" w:rsidR="00B92247" w:rsidRPr="000D0901" w:rsidRDefault="00222AC5" w:rsidP="0019447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5" w:name="_Toc95305678"/>
      <w:proofErr w:type="spellStart"/>
      <w:r w:rsidRPr="000D0901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901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90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901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56082D" w:rsidRPr="000D0901">
        <w:rPr>
          <w:rFonts w:asciiTheme="minorHAnsi" w:hAnsiTheme="minorHAnsi" w:cstheme="minorHAnsi"/>
          <w:sz w:val="22"/>
          <w:szCs w:val="22"/>
        </w:rPr>
        <w:t xml:space="preserve"> 2.</w:t>
      </w:r>
      <w:r w:rsidR="003323E8" w:rsidRPr="000D0901">
        <w:rPr>
          <w:rFonts w:asciiTheme="minorHAnsi" w:hAnsiTheme="minorHAnsi" w:cstheme="minorHAnsi"/>
          <w:sz w:val="22"/>
          <w:szCs w:val="22"/>
        </w:rPr>
        <w:t xml:space="preserve">, a u </w:t>
      </w:r>
      <w:proofErr w:type="spellStart"/>
      <w:r w:rsidR="003323E8" w:rsidRPr="000D090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3323E8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3E8" w:rsidRPr="000D090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23E8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FA0932" w:rsidRPr="000D0901">
        <w:rPr>
          <w:rFonts w:asciiTheme="minorHAnsi" w:hAnsiTheme="minorHAnsi" w:cstheme="minorHAnsi"/>
          <w:sz w:val="22"/>
          <w:szCs w:val="22"/>
        </w:rPr>
        <w:t>I</w:t>
      </w:r>
      <w:r w:rsidR="00105337">
        <w:rPr>
          <w:rFonts w:asciiTheme="minorHAnsi" w:hAnsiTheme="minorHAnsi" w:cstheme="minorHAnsi"/>
          <w:sz w:val="22"/>
          <w:szCs w:val="22"/>
        </w:rPr>
        <w:t>I</w:t>
      </w:r>
      <w:r w:rsidR="006246AE" w:rsidRPr="000D09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246AE" w:rsidRPr="000D0901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6246AE" w:rsidRPr="000D0901">
        <w:rPr>
          <w:rFonts w:asciiTheme="minorHAnsi" w:hAnsiTheme="minorHAnsi" w:cstheme="minorHAnsi"/>
          <w:sz w:val="22"/>
          <w:szCs w:val="22"/>
        </w:rPr>
        <w:t xml:space="preserve"> 202</w:t>
      </w:r>
      <w:r w:rsidR="00E0620F" w:rsidRPr="000D0901">
        <w:rPr>
          <w:rFonts w:asciiTheme="minorHAnsi" w:hAnsiTheme="minorHAnsi" w:cstheme="minorHAnsi"/>
          <w:sz w:val="22"/>
          <w:szCs w:val="22"/>
        </w:rPr>
        <w:t>2</w:t>
      </w:r>
      <w:r w:rsidR="003323E8" w:rsidRPr="000D0901">
        <w:rPr>
          <w:rFonts w:asciiTheme="minorHAnsi" w:hAnsiTheme="minorHAnsi" w:cstheme="minorHAnsi"/>
          <w:sz w:val="22"/>
          <w:szCs w:val="22"/>
        </w:rPr>
        <w:t>.</w:t>
      </w:r>
      <w:r w:rsidR="00270908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EF49D0" w:rsidRPr="000D0901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="00EF49D0" w:rsidRPr="000D0901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EF49D0" w:rsidRPr="000D090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F49D0" w:rsidRPr="000D0901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EF49D0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105337">
        <w:rPr>
          <w:rFonts w:asciiTheme="minorHAnsi" w:hAnsiTheme="minorHAnsi" w:cstheme="minorHAnsi"/>
          <w:sz w:val="22"/>
          <w:szCs w:val="22"/>
        </w:rPr>
        <w:t>286.515</w:t>
      </w:r>
      <w:r w:rsidR="005D6342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90A" w:rsidRPr="000D090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FC590A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90A" w:rsidRPr="000D090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5D6342" w:rsidRPr="000D0901">
        <w:rPr>
          <w:rFonts w:asciiTheme="minorHAnsi" w:hAnsiTheme="minorHAnsi" w:cstheme="minorHAnsi"/>
          <w:sz w:val="22"/>
          <w:szCs w:val="22"/>
        </w:rPr>
        <w:t>1</w:t>
      </w:r>
      <w:r w:rsidR="00105337">
        <w:rPr>
          <w:rFonts w:asciiTheme="minorHAnsi" w:hAnsiTheme="minorHAnsi" w:cstheme="minorHAnsi"/>
          <w:sz w:val="22"/>
          <w:szCs w:val="22"/>
        </w:rPr>
        <w:t>59.041</w:t>
      </w:r>
      <w:r w:rsidR="005D6342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010" w:rsidRPr="000D090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63010" w:rsidRPr="000D09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63010" w:rsidRPr="000D0901">
        <w:rPr>
          <w:rFonts w:asciiTheme="minorHAnsi" w:hAnsiTheme="minorHAnsi" w:cstheme="minorHAnsi"/>
          <w:sz w:val="22"/>
          <w:szCs w:val="22"/>
        </w:rPr>
        <w:t>riješen</w:t>
      </w:r>
      <w:r w:rsidR="00216171" w:rsidRPr="000D090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5D6342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FD2FD6" w:rsidRPr="000D0901">
        <w:rPr>
          <w:rFonts w:asciiTheme="minorHAnsi" w:hAnsiTheme="minorHAnsi" w:cstheme="minorHAnsi"/>
          <w:sz w:val="22"/>
          <w:szCs w:val="22"/>
        </w:rPr>
        <w:t>14</w:t>
      </w:r>
      <w:r w:rsidR="00105337">
        <w:rPr>
          <w:rFonts w:asciiTheme="minorHAnsi" w:hAnsiTheme="minorHAnsi" w:cstheme="minorHAnsi"/>
          <w:sz w:val="22"/>
          <w:szCs w:val="22"/>
        </w:rPr>
        <w:t>6.005</w:t>
      </w:r>
      <w:r w:rsidR="005D6342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predmet</w:t>
      </w:r>
      <w:r w:rsidR="004A522D" w:rsidRPr="000D090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je</w:t>
      </w:r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FD2FD6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105337">
        <w:rPr>
          <w:rFonts w:asciiTheme="minorHAnsi" w:hAnsiTheme="minorHAnsi" w:cstheme="minorHAnsi"/>
          <w:sz w:val="22"/>
          <w:szCs w:val="22"/>
        </w:rPr>
        <w:t>51.224</w:t>
      </w:r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6DC1" w:rsidRPr="000D090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0B6DC1" w:rsidRPr="000D0901">
        <w:rPr>
          <w:rFonts w:asciiTheme="minorHAnsi" w:hAnsiTheme="minorHAnsi" w:cstheme="minorHAnsi"/>
          <w:sz w:val="22"/>
          <w:szCs w:val="22"/>
        </w:rPr>
        <w:t>)</w:t>
      </w:r>
      <w:r w:rsidR="00FC590A" w:rsidRPr="000D09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D2FD6" w:rsidRPr="000D0901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FD2FD6" w:rsidRPr="000D0901">
        <w:rPr>
          <w:rFonts w:asciiTheme="minorHAnsi" w:hAnsiTheme="minorHAnsi" w:cstheme="minorHAnsi"/>
          <w:sz w:val="22"/>
          <w:szCs w:val="22"/>
        </w:rPr>
        <w:t xml:space="preserve"> da je u II</w:t>
      </w:r>
      <w:r w:rsidR="00105337">
        <w:rPr>
          <w:rFonts w:asciiTheme="minorHAnsi" w:hAnsiTheme="minorHAnsi" w:cstheme="minorHAnsi"/>
          <w:sz w:val="22"/>
          <w:szCs w:val="22"/>
        </w:rPr>
        <w:t>I</w:t>
      </w:r>
      <w:r w:rsidR="00FD2FD6" w:rsidRPr="000D0901">
        <w:rPr>
          <w:rFonts w:asciiTheme="minorHAnsi" w:hAnsiTheme="minorHAnsi" w:cstheme="minorHAnsi"/>
          <w:sz w:val="22"/>
          <w:szCs w:val="22"/>
        </w:rPr>
        <w:t>.</w:t>
      </w:r>
      <w:r w:rsidR="003F094C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094C" w:rsidRPr="000D0901">
        <w:rPr>
          <w:rFonts w:asciiTheme="minorHAnsi" w:hAnsiTheme="minorHAnsi" w:cstheme="minorHAnsi"/>
          <w:sz w:val="22"/>
          <w:szCs w:val="22"/>
        </w:rPr>
        <w:t>k</w:t>
      </w:r>
      <w:r w:rsidR="003323E8" w:rsidRPr="000D0901">
        <w:rPr>
          <w:rFonts w:asciiTheme="minorHAnsi" w:hAnsiTheme="minorHAnsi" w:cstheme="minorHAnsi"/>
          <w:sz w:val="22"/>
          <w:szCs w:val="22"/>
        </w:rPr>
        <w:t>var</w:t>
      </w:r>
      <w:r w:rsidR="002C2464" w:rsidRPr="000D0901">
        <w:rPr>
          <w:rFonts w:asciiTheme="minorHAnsi" w:hAnsiTheme="minorHAnsi" w:cstheme="minorHAnsi"/>
          <w:sz w:val="22"/>
          <w:szCs w:val="22"/>
        </w:rPr>
        <w:t>talu</w:t>
      </w:r>
      <w:proofErr w:type="spellEnd"/>
      <w:r w:rsidR="002C2464" w:rsidRPr="000D0901">
        <w:rPr>
          <w:rFonts w:asciiTheme="minorHAnsi" w:hAnsiTheme="minorHAnsi" w:cstheme="minorHAnsi"/>
          <w:sz w:val="22"/>
          <w:szCs w:val="22"/>
        </w:rPr>
        <w:t xml:space="preserve"> 2022</w:t>
      </w:r>
      <w:r w:rsidR="00FD2FD6" w:rsidRPr="000D09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D2FD6" w:rsidRPr="000D090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105337">
        <w:rPr>
          <w:rFonts w:asciiTheme="minorHAnsi" w:hAnsiTheme="minorHAnsi" w:cstheme="minorHAnsi"/>
          <w:sz w:val="22"/>
          <w:szCs w:val="22"/>
        </w:rPr>
        <w:t>za 7,65</w:t>
      </w:r>
      <w:r w:rsidR="00F359FE" w:rsidRPr="000D0901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10533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19447B" w:rsidRPr="000D0901">
        <w:rPr>
          <w:rFonts w:asciiTheme="minorHAnsi" w:hAnsiTheme="minorHAnsi" w:cstheme="minorHAnsi"/>
          <w:sz w:val="22"/>
          <w:szCs w:val="22"/>
        </w:rPr>
        <w:t xml:space="preserve">za </w:t>
      </w:r>
      <w:r w:rsidR="00105337">
        <w:rPr>
          <w:rFonts w:asciiTheme="minorHAnsi" w:hAnsiTheme="minorHAnsi" w:cstheme="minorHAnsi"/>
          <w:sz w:val="22"/>
          <w:szCs w:val="22"/>
        </w:rPr>
        <w:t>9,36</w:t>
      </w:r>
      <w:r w:rsidR="00D2797A" w:rsidRPr="000D0901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19447B" w:rsidRPr="000D0901">
        <w:rPr>
          <w:rFonts w:asciiTheme="minorHAnsi" w:hAnsiTheme="minorHAnsi" w:cstheme="minorHAnsi"/>
          <w:sz w:val="22"/>
          <w:szCs w:val="22"/>
        </w:rPr>
        <w:t>smanje</w:t>
      </w:r>
      <w:r w:rsidR="00F359FE" w:rsidRPr="000D090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8C7" w:rsidRPr="000D090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F38C7" w:rsidRPr="000D0901">
        <w:rPr>
          <w:rFonts w:asciiTheme="minorHAnsi" w:hAnsiTheme="minorHAnsi" w:cstheme="minorHAnsi"/>
          <w:sz w:val="22"/>
          <w:szCs w:val="22"/>
        </w:rPr>
        <w:t xml:space="preserve"> z</w:t>
      </w:r>
      <w:r w:rsidRPr="000D0901">
        <w:rPr>
          <w:rFonts w:asciiTheme="minorHAnsi" w:hAnsiTheme="minorHAnsi" w:cstheme="minorHAnsi"/>
          <w:sz w:val="22"/>
          <w:szCs w:val="22"/>
        </w:rPr>
        <w:t xml:space="preserve">a </w:t>
      </w:r>
      <w:r w:rsidR="00105337">
        <w:rPr>
          <w:rFonts w:asciiTheme="minorHAnsi" w:hAnsiTheme="minorHAnsi" w:cstheme="minorHAnsi"/>
          <w:sz w:val="22"/>
          <w:szCs w:val="22"/>
        </w:rPr>
        <w:t>2,93</w:t>
      </w:r>
      <w:r w:rsidR="002A48CF" w:rsidRPr="000D0901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2A48CF" w:rsidRPr="000D0901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2A48CF" w:rsidRPr="000D090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900BCA" w:rsidRPr="000D090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900BCA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BCA" w:rsidRPr="000D090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FC590A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590A" w:rsidRPr="000D0901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090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9447B" w:rsidRPr="000D09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447B" w:rsidRPr="000D0901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0D0901">
        <w:rPr>
          <w:rFonts w:asciiTheme="minorHAnsi" w:hAnsiTheme="minorHAnsi" w:cstheme="minorHAnsi"/>
          <w:sz w:val="22"/>
          <w:szCs w:val="22"/>
        </w:rPr>
        <w:t xml:space="preserve"> za</w:t>
      </w:r>
      <w:r w:rsidR="0052729C" w:rsidRPr="000D0901">
        <w:rPr>
          <w:rFonts w:asciiTheme="minorHAnsi" w:hAnsiTheme="minorHAnsi" w:cstheme="minorHAnsi"/>
          <w:sz w:val="22"/>
          <w:szCs w:val="22"/>
        </w:rPr>
        <w:t xml:space="preserve"> </w:t>
      </w:r>
      <w:r w:rsidR="00105337">
        <w:rPr>
          <w:rFonts w:asciiTheme="minorHAnsi" w:hAnsiTheme="minorHAnsi" w:cstheme="minorHAnsi"/>
          <w:sz w:val="22"/>
          <w:szCs w:val="22"/>
        </w:rPr>
        <w:t>1,32</w:t>
      </w:r>
      <w:r w:rsidR="00FC590A" w:rsidRPr="000D0901">
        <w:rPr>
          <w:rFonts w:asciiTheme="minorHAnsi" w:hAnsiTheme="minorHAnsi" w:cstheme="minorHAnsi"/>
          <w:sz w:val="22"/>
          <w:szCs w:val="22"/>
        </w:rPr>
        <w:t>%</w:t>
      </w:r>
      <w:r w:rsidR="0052729C" w:rsidRPr="000D0901">
        <w:rPr>
          <w:rFonts w:asciiTheme="minorHAnsi" w:hAnsiTheme="minorHAnsi" w:cstheme="minorHAnsi"/>
          <w:sz w:val="22"/>
          <w:szCs w:val="22"/>
        </w:rPr>
        <w:t>.</w:t>
      </w:r>
      <w:bookmarkEnd w:id="23"/>
      <w:bookmarkEnd w:id="24"/>
      <w:bookmarkEnd w:id="25"/>
      <w:r w:rsidR="0052729C" w:rsidRPr="000D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9FF9F1" w14:textId="77777777" w:rsidR="00960C0A" w:rsidRPr="00960C0A" w:rsidRDefault="00960C0A" w:rsidP="0019447B">
      <w:pPr>
        <w:jc w:val="both"/>
        <w:rPr>
          <w:color w:val="FF0000"/>
        </w:rPr>
        <w:sectPr w:rsidR="00960C0A" w:rsidRPr="00960C0A" w:rsidSect="006D7446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  <w:r w:rsidRPr="00E0620F">
        <w:rPr>
          <w:color w:val="FF0000"/>
        </w:rPr>
        <w:t xml:space="preserve">  </w:t>
      </w:r>
    </w:p>
    <w:p w14:paraId="6244498C" w14:textId="77777777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6" w:name="_Toc70332800"/>
      <w:bookmarkStart w:id="27" w:name="_Toc96602567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6"/>
      <w:bookmarkEnd w:id="27"/>
    </w:p>
    <w:p w14:paraId="70C66622" w14:textId="77777777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0649243C" w14:textId="77777777" w:rsidR="00B92247" w:rsidRPr="00E900B4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038C">
        <w:rPr>
          <w:rFonts w:asciiTheme="minorHAnsi" w:hAnsiTheme="minorHAnsi" w:cstheme="minorHAnsi"/>
          <w:sz w:val="22"/>
          <w:szCs w:val="22"/>
        </w:rPr>
        <w:t>za</w:t>
      </w:r>
      <w:r w:rsidRPr="00E900B4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9A1D97" w:rsidRPr="00E900B4">
        <w:rPr>
          <w:rFonts w:asciiTheme="minorHAnsi" w:hAnsiTheme="minorHAnsi" w:cstheme="minorHAnsi"/>
          <w:sz w:val="22"/>
          <w:szCs w:val="22"/>
        </w:rPr>
        <w:t>I</w:t>
      </w:r>
      <w:r w:rsidR="00BA0BF0">
        <w:rPr>
          <w:rFonts w:asciiTheme="minorHAnsi" w:hAnsiTheme="minorHAnsi" w:cstheme="minorHAnsi"/>
          <w:sz w:val="22"/>
          <w:szCs w:val="22"/>
        </w:rPr>
        <w:t>I</w:t>
      </w:r>
      <w:r w:rsidR="00105337">
        <w:rPr>
          <w:rFonts w:asciiTheme="minorHAnsi" w:hAnsiTheme="minorHAnsi" w:cstheme="minorHAnsi"/>
          <w:sz w:val="22"/>
          <w:szCs w:val="22"/>
        </w:rPr>
        <w:t>I</w:t>
      </w:r>
      <w:r w:rsidR="004554D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554D0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4554D0">
        <w:rPr>
          <w:rFonts w:asciiTheme="minorHAnsi" w:hAnsiTheme="minorHAnsi" w:cstheme="minorHAnsi"/>
          <w:sz w:val="22"/>
          <w:szCs w:val="22"/>
        </w:rPr>
        <w:t xml:space="preserve"> 2022</w:t>
      </w:r>
      <w:r w:rsidR="001F1CD2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postot</w:t>
      </w:r>
      <w:r w:rsidRPr="00E900B4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3EFFCB44" w14:textId="77777777" w:rsidR="00ED1A82" w:rsidRPr="00E900B4" w:rsidRDefault="00ED1A82" w:rsidP="003864AA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625D5C1" w14:textId="77777777" w:rsidR="005B7626" w:rsidRPr="001E76AC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8" w:name="_Toc7033276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Stopa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, I</w:t>
      </w:r>
      <w:r w:rsidR="000B0FAB">
        <w:rPr>
          <w:rFonts w:asciiTheme="minorHAnsi" w:hAnsiTheme="minorHAnsi" w:cstheme="minorHAnsi"/>
          <w:b w:val="0"/>
          <w:sz w:val="22"/>
          <w:szCs w:val="22"/>
        </w:rPr>
        <w:t>I</w:t>
      </w:r>
      <w:r w:rsidR="00BA0BF0">
        <w:rPr>
          <w:rFonts w:asciiTheme="minorHAnsi" w:hAnsiTheme="minorHAnsi" w:cstheme="minorHAnsi"/>
          <w:b w:val="0"/>
          <w:sz w:val="22"/>
          <w:szCs w:val="22"/>
        </w:rPr>
        <w:t>I</w:t>
      </w:r>
      <w:r w:rsidR="004554D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4554D0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4554D0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8"/>
    </w:p>
    <w:tbl>
      <w:tblPr>
        <w:tblW w:w="515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87"/>
        <w:gridCol w:w="1266"/>
        <w:gridCol w:w="955"/>
        <w:gridCol w:w="853"/>
        <w:gridCol w:w="812"/>
        <w:gridCol w:w="834"/>
        <w:gridCol w:w="834"/>
        <w:gridCol w:w="834"/>
        <w:gridCol w:w="834"/>
        <w:gridCol w:w="818"/>
        <w:gridCol w:w="797"/>
      </w:tblGrid>
      <w:tr w:rsidR="000A0671" w:rsidRPr="00DD6A2C" w14:paraId="0B2CD406" w14:textId="77777777" w:rsidTr="005B5B95">
        <w:trPr>
          <w:trHeight w:val="1284"/>
          <w:tblHeader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863617" w14:textId="77777777" w:rsidR="00DD6A2C" w:rsidRPr="00DD6A2C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5"/>
                <w:szCs w:val="15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D5D643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89B43C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ED45136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  <w:t>Zaprimljeni redovni predmeti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23C88A4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  <w:t>Zaprimljeni posebni predmeti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752D784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t>Ukupno riješeno</w:t>
            </w: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022B7EC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  <w:t>Riješeni redovni predmeti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EF6B1D3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  <w:t>Riješeni posebni predmeti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910C45E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color w:val="FFFF00"/>
                <w:sz w:val="14"/>
                <w:szCs w:val="14"/>
                <w:lang w:val="hr-HR"/>
              </w:rPr>
              <w:t>Ukupna stopa rješavanja predmeta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34A2662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4"/>
                <w:szCs w:val="14"/>
                <w:lang w:val="hr-HR"/>
              </w:rPr>
              <w:t>Stopa rješavanja redovnih predmeta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EAF6E71" w14:textId="77777777" w:rsidR="00DD6A2C" w:rsidRPr="000A0671" w:rsidRDefault="00DD6A2C" w:rsidP="00DD6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</w:pPr>
            <w:r w:rsidRPr="000A067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 w:val="13"/>
                <w:szCs w:val="13"/>
                <w:lang w:val="hr-HR"/>
              </w:rPr>
              <w:t>Stopa rješavanja posebnih predmeta</w:t>
            </w:r>
          </w:p>
        </w:tc>
      </w:tr>
      <w:tr w:rsidR="00D46984" w:rsidRPr="00DD6A2C" w14:paraId="1D155118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E08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70E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B6F3C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210C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B9170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6BD9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14EE8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CE37D" w14:textId="77777777" w:rsid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FF7A5" w14:textId="77777777" w:rsidR="00D46984" w:rsidRP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102,79%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C487C" w14:textId="77777777" w:rsidR="00D46984" w:rsidRP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102,90%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5AB32" w14:textId="77777777" w:rsidR="00D46984" w:rsidRPr="00D46984" w:rsidRDefault="00D46984" w:rsidP="00D4698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123,81%</w:t>
            </w:r>
          </w:p>
        </w:tc>
      </w:tr>
      <w:tr w:rsidR="00D46984" w:rsidRPr="00DD6A2C" w14:paraId="3BA26A97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479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CFB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DD00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22CC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D9E4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DA93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0746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3E5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DF9B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105,38%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1202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101,14%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ACEF6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316,67%</w:t>
            </w:r>
          </w:p>
        </w:tc>
      </w:tr>
      <w:tr w:rsidR="00D46984" w:rsidRPr="00DD6A2C" w14:paraId="719766D1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F7AC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301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1A7F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53D7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4DC4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41B1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F0B4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0942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BBEA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96,96%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5E3B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96,72%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E9A6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132,26%</w:t>
            </w:r>
          </w:p>
        </w:tc>
      </w:tr>
      <w:tr w:rsidR="00D46984" w:rsidRPr="00DD6A2C" w14:paraId="2A68721B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5F9A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491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A7E8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5B2D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A2D0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F5B3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AFA6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484A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1C8A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97,16%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2556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99,20%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1063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400,00%</w:t>
            </w:r>
          </w:p>
        </w:tc>
      </w:tr>
      <w:tr w:rsidR="00D46984" w:rsidRPr="00DD6A2C" w14:paraId="0ABA621D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2E89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E23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5D08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E003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B462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E150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9EB2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0600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0292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100,38%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8BE9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98,79%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4DB3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128,57%</w:t>
            </w:r>
          </w:p>
        </w:tc>
      </w:tr>
      <w:tr w:rsidR="00D46984" w:rsidRPr="00DD6A2C" w14:paraId="6EDAB3A9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EB4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3C3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E178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A292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AA2F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A2AE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C07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D13B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AD4D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81,66%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4D34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83,80%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A8FC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41,67%</w:t>
            </w:r>
          </w:p>
        </w:tc>
      </w:tr>
      <w:tr w:rsidR="00D46984" w:rsidRPr="00DD6A2C" w14:paraId="36B8DB72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4996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2EE9D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8BED3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5.326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D6A8F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2DDBD8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7DCE4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1CE20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0D7D6A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91128A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98,05%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1197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97,97%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BAC23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130,00%</w:t>
            </w:r>
          </w:p>
        </w:tc>
      </w:tr>
      <w:tr w:rsidR="00D46984" w:rsidRPr="00DD6A2C" w14:paraId="0BBFD2AD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71BD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34AE2" w14:textId="77777777" w:rsidR="00D46984" w:rsidRPr="000F45D4" w:rsidRDefault="00D46984" w:rsidP="00D4698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Crikvenica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C973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308E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8740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83E0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FAA2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00C7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BDB3A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71,43%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5F2F2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71,79%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6149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92,00%</w:t>
            </w:r>
          </w:p>
        </w:tc>
      </w:tr>
      <w:tr w:rsidR="00D46984" w:rsidRPr="00DD6A2C" w14:paraId="2573D95A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DBB6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6BD0B" w14:textId="77777777" w:rsidR="00D46984" w:rsidRPr="000F45D4" w:rsidRDefault="00D46984" w:rsidP="00D4698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Krk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F265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F8FA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7F48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BE11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6FC3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4B3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D200B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87,68%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3468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88,80%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463C2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50,00%</w:t>
            </w:r>
          </w:p>
        </w:tc>
      </w:tr>
      <w:tr w:rsidR="00D46984" w:rsidRPr="00DD6A2C" w14:paraId="25DB28A2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1D4C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D104" w14:textId="77777777" w:rsidR="00D46984" w:rsidRPr="000F45D4" w:rsidRDefault="00D46984" w:rsidP="00D46984">
            <w:pPr>
              <w:rPr>
                <w:rFonts w:ascii="Calibri" w:hAnsi="Calibri" w:cs="Calibri"/>
                <w:sz w:val="20"/>
                <w:szCs w:val="20"/>
              </w:rPr>
            </w:pPr>
            <w:r w:rsidRPr="000F45D4">
              <w:rPr>
                <w:rFonts w:ascii="Calibri" w:hAnsi="Calibri" w:cs="Calibri"/>
                <w:sz w:val="20"/>
                <w:szCs w:val="20"/>
              </w:rPr>
              <w:t xml:space="preserve">Novi </w:t>
            </w: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Vinodolski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5493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96C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2207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3369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2FB4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AF4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62FF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99,33%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C2C5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98,87%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D01CE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183,33%</w:t>
            </w:r>
          </w:p>
        </w:tc>
      </w:tr>
      <w:tr w:rsidR="00D46984" w:rsidRPr="00DD6A2C" w14:paraId="5D17203B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9ECC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2F10B" w14:textId="77777777" w:rsidR="00D46984" w:rsidRPr="000F45D4" w:rsidRDefault="00D46984" w:rsidP="00D4698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Rab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6134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E744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0318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9D4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A1D0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7F9F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7EE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71,89%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B3026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75,71%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0AE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96,15%</w:t>
            </w:r>
          </w:p>
        </w:tc>
      </w:tr>
      <w:tr w:rsidR="00D46984" w:rsidRPr="00DD6A2C" w14:paraId="0ECAB6AF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541E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3F730" w14:textId="77777777" w:rsidR="00D46984" w:rsidRPr="000F45D4" w:rsidRDefault="00D46984" w:rsidP="00D4698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45D4">
              <w:rPr>
                <w:rFonts w:ascii="Calibri" w:hAnsi="Calibri" w:cs="Calibri"/>
                <w:sz w:val="20"/>
                <w:szCs w:val="20"/>
              </w:rPr>
              <w:t>Senj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EC2A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F69A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5CAD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4895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53DD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1871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95DF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83,77%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6C54A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83,30%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B8BA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114,29%</w:t>
            </w:r>
          </w:p>
        </w:tc>
      </w:tr>
      <w:tr w:rsidR="00D46984" w:rsidRPr="00DD6A2C" w14:paraId="39044B01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FFAA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2D70D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70F3B4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4.973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1FC09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4.797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6EAF3A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450243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4.078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4950A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866C29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F03E5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82,00%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9409C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83,03%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7513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79,17%</w:t>
            </w:r>
          </w:p>
        </w:tc>
      </w:tr>
      <w:tr w:rsidR="00D46984" w:rsidRPr="00DD6A2C" w14:paraId="1FFD039F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7E4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F090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18C2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B2EE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3EB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99B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34F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3499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A04F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100,23%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E121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100,24%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7B37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103,70%</w:t>
            </w:r>
          </w:p>
        </w:tc>
      </w:tr>
      <w:tr w:rsidR="00D46984" w:rsidRPr="00DD6A2C" w14:paraId="5DFFBD58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C82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A796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5EF9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58CB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3EA9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D5A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44A9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E05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1671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100,77%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808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99,68%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88F57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150,00%</w:t>
            </w:r>
          </w:p>
        </w:tc>
      </w:tr>
      <w:tr w:rsidR="00D46984" w:rsidRPr="00DD6A2C" w14:paraId="6E70D3E9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069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F8502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CE87E6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06B3A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5E86C2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48F86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3.273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E2F9B8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92F337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8969F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100,34%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B3BCB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100,13%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5AAB77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110,53%</w:t>
            </w:r>
          </w:p>
        </w:tc>
      </w:tr>
      <w:tr w:rsidR="00D46984" w:rsidRPr="00DD6A2C" w14:paraId="355130E5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01F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619" w:type="pct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67B" w14:textId="77777777" w:rsidR="00D46984" w:rsidRPr="000F45D4" w:rsidRDefault="00D46984" w:rsidP="00D469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45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5C1D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A480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AC04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EA44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02A4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1D4E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B0B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124,06%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7B19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123,94%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5FE8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152,63%</w:t>
            </w:r>
          </w:p>
        </w:tc>
      </w:tr>
      <w:tr w:rsidR="00D46984" w:rsidRPr="00DD6A2C" w14:paraId="6324441A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41B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B28" w14:textId="77777777" w:rsidR="00D46984" w:rsidRPr="000F45D4" w:rsidRDefault="00D46984" w:rsidP="00D469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45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59B9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FA4B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2.088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EA97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21C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4D08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2.048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14AF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050E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97,02%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9E3FE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98,08%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C757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116,16%</w:t>
            </w:r>
          </w:p>
        </w:tc>
      </w:tr>
      <w:tr w:rsidR="00D46984" w:rsidRPr="00DD6A2C" w14:paraId="173B8A5F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7C7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6A36" w14:textId="77777777" w:rsidR="00D46984" w:rsidRPr="000F45D4" w:rsidRDefault="00D46984" w:rsidP="00D469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45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366F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1223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B4D3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DDC4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9149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8D66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6018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121,88%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6CA8E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128,37%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569E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53,70%</w:t>
            </w:r>
          </w:p>
        </w:tc>
      </w:tr>
      <w:tr w:rsidR="00D46984" w:rsidRPr="00DD6A2C" w14:paraId="281255A5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9BD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61F97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1694DC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3.465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598DD1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3.088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A27939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114192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3.639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0D4AEB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FFDAC9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791A7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105,02%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F887EA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107,35%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3098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107,28%</w:t>
            </w:r>
          </w:p>
        </w:tc>
      </w:tr>
      <w:tr w:rsidR="00D46984" w:rsidRPr="00DD6A2C" w14:paraId="527E80E8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5250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9D1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A03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A64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001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D231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7F90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8786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B80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110,19%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FC01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110,51%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87E3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</w:tr>
      <w:tr w:rsidR="00D46984" w:rsidRPr="00DD6A2C" w14:paraId="678B2F9E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3353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D856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5254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B39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D746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8923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E94F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6602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4E6B5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99,87%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37C5B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100,27%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6774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62,50%</w:t>
            </w:r>
          </w:p>
        </w:tc>
      </w:tr>
      <w:tr w:rsidR="00D46984" w:rsidRPr="00DD6A2C" w14:paraId="7C3CEFAB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33A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8D851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4F52A5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1.817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227F20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1.796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73B9C7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AAE840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9CBABE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B4B62E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BDF48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105,89%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5ACC8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106,24%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64A5E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84,21%</w:t>
            </w:r>
          </w:p>
        </w:tc>
      </w:tr>
      <w:tr w:rsidR="00D46984" w:rsidRPr="00DD6A2C" w14:paraId="1A3F32B9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7D24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809" w14:textId="77777777" w:rsidR="00D46984" w:rsidRPr="004D5B58" w:rsidRDefault="00D46984" w:rsidP="00D469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Donji</w:t>
            </w:r>
            <w:proofErr w:type="spellEnd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4F7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A329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B03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E985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6957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11D5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EAEE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110,53%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7AA5B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106,76%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F3CD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250,00%</w:t>
            </w:r>
          </w:p>
        </w:tc>
      </w:tr>
      <w:tr w:rsidR="00D46984" w:rsidRPr="00DD6A2C" w14:paraId="18072058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926A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09F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Gospić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7B8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5097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8C88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2135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D268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C0A2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E0602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36,10%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9492E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34,47%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2402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116,13%</w:t>
            </w:r>
          </w:p>
        </w:tc>
      </w:tr>
      <w:tr w:rsidR="00D46984" w:rsidRPr="00DD6A2C" w14:paraId="390BE1B8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8B9C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FFD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Gračac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0017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502E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E2FF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3F15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C78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C0C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A555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56,65%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898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56,16%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06C6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0,00%</w:t>
            </w:r>
          </w:p>
        </w:tc>
      </w:tr>
      <w:tr w:rsidR="00D46984" w:rsidRPr="00DD6A2C" w14:paraId="5C024B85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2710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4C5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Korenica</w:t>
            </w:r>
            <w:proofErr w:type="spellEnd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3001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7CCEC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D4DA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8EA4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1050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9D55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9A27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88,59%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F2A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88,40%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02CC4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125,00%</w:t>
            </w:r>
          </w:p>
        </w:tc>
      </w:tr>
      <w:tr w:rsidR="00D46984" w:rsidRPr="00DD6A2C" w14:paraId="2C7B11D2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1F2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895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Otočac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E4389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1BC9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C637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19790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0516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609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477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73,76%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97AB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73,97%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B432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50,00%</w:t>
            </w:r>
          </w:p>
        </w:tc>
      </w:tr>
      <w:tr w:rsidR="00D46984" w:rsidRPr="00DD6A2C" w14:paraId="22E63CD4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E0C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F58427" w14:textId="77777777" w:rsidR="00D46984" w:rsidRPr="004D5B58" w:rsidRDefault="00D46984" w:rsidP="00D4698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DB6BB7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2.573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01104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2.531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59A683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55C42E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1.350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541BB0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B6F5E4" w14:textId="77777777" w:rsid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042C8D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52,47%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2E1FD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51,40%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7AC35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119,51%</w:t>
            </w:r>
          </w:p>
        </w:tc>
      </w:tr>
      <w:tr w:rsidR="00D46984" w:rsidRPr="00DD6A2C" w14:paraId="1E00D44A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671B" w14:textId="77777777" w:rsidR="00D46984" w:rsidRPr="00DD6A2C" w:rsidRDefault="00D46984" w:rsidP="00D46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6BB2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8734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2.493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BBFB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2.347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7980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0A46D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2.594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0DFE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AC037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CDE69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104,05%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D5995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105,20%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7148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123,76%</w:t>
            </w:r>
          </w:p>
        </w:tc>
      </w:tr>
      <w:tr w:rsidR="00D46984" w:rsidRPr="00DD6A2C" w14:paraId="1EF92043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DB66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A97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Ogulin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C781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7A6AE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2E0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C09E6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48A1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30793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65D41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125,68%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4720F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123,05%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956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371,43%</w:t>
            </w:r>
          </w:p>
        </w:tc>
      </w:tr>
      <w:tr w:rsidR="00D46984" w:rsidRPr="00DD6A2C" w14:paraId="717D2302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5D84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D1D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Ozalj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5DB68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F17F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67FC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189A2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9BB21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CD26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19FF3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75,39%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0CE2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71,71%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5319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113,33%</w:t>
            </w:r>
          </w:p>
        </w:tc>
      </w:tr>
      <w:tr w:rsidR="00D46984" w:rsidRPr="00DD6A2C" w14:paraId="79308B0F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EEF2" w14:textId="77777777" w:rsidR="00D46984" w:rsidRPr="00DD6A2C" w:rsidRDefault="00D46984" w:rsidP="00D4698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76C" w14:textId="77777777" w:rsidR="00D46984" w:rsidRPr="004D5B58" w:rsidRDefault="00D46984" w:rsidP="00D469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D5B58">
              <w:rPr>
                <w:rFonts w:ascii="Calibri" w:hAnsi="Calibri" w:cs="Calibri"/>
                <w:color w:val="000000"/>
                <w:sz w:val="20"/>
                <w:szCs w:val="20"/>
              </w:rPr>
              <w:t>Slunj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C673A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F05F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21545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6F114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B4D3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E966B" w14:textId="77777777" w:rsid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D536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18"/>
              </w:rPr>
              <w:t>106,36%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44ED0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108,16%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0393C" w14:textId="77777777" w:rsidR="00D46984" w:rsidRPr="00D46984" w:rsidRDefault="00D46984" w:rsidP="00D46984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6"/>
                <w:szCs w:val="22"/>
              </w:rPr>
              <w:t>40,00%</w:t>
            </w:r>
          </w:p>
        </w:tc>
      </w:tr>
      <w:tr w:rsidR="004D0DC8" w:rsidRPr="00DD6A2C" w14:paraId="6D1469F9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653BD9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03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89E65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173EA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8AF26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42829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58130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F58A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D8693" w14:textId="77777777" w:rsidR="004D0DC8" w:rsidRPr="00D46984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val="hr-HR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69,23%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08E44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63,46%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EB0E0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1800,00%</w:t>
            </w:r>
          </w:p>
        </w:tc>
      </w:tr>
      <w:tr w:rsidR="004D0DC8" w:rsidRPr="00DD6A2C" w14:paraId="4499153A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332652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04297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E7937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120D5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96576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52A3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4.394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50972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C3AEF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B7CCF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102,86%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901DE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102,96%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D878A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136,59%</w:t>
            </w:r>
          </w:p>
        </w:tc>
      </w:tr>
      <w:tr w:rsidR="004D0DC8" w:rsidRPr="00DD6A2C" w14:paraId="27692D47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3041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13D1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D097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14AE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3B27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2A00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1FEB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67C7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1B8F9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101,45%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1F6D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104,27%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7231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157,89%</w:t>
            </w:r>
          </w:p>
        </w:tc>
      </w:tr>
      <w:tr w:rsidR="004D0DC8" w:rsidRPr="00DD6A2C" w14:paraId="03C42553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8FAB811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B4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E8A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82A0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786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F2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D5F0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2E1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832CC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103,58%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16FD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102,50%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B3EC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158,82%</w:t>
            </w:r>
          </w:p>
        </w:tc>
      </w:tr>
      <w:tr w:rsidR="004D0DC8" w:rsidRPr="00DD6A2C" w14:paraId="0B4CB935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6D88A2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8484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39339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2.505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D0E5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2.390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CA57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85332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08465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F7C6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D369FB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102,87%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95ACB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103,05%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10670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158,33%</w:t>
            </w:r>
          </w:p>
        </w:tc>
      </w:tr>
      <w:tr w:rsidR="004D0DC8" w:rsidRPr="00DD6A2C" w14:paraId="62120280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D4F0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B4E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A16B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587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375B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9212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B119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DCD8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1A1E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99,17%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E200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100,11%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F439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42,86%</w:t>
            </w:r>
          </w:p>
        </w:tc>
      </w:tr>
      <w:tr w:rsidR="004D0DC8" w:rsidRPr="00DD6A2C" w14:paraId="3AB064C0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7F6DD3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246D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DCE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C781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7FE4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276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5941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EC72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A7DE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102,57%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DE2B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95,54%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26E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281,82%</w:t>
            </w:r>
          </w:p>
        </w:tc>
      </w:tr>
      <w:tr w:rsidR="004D0DC8" w:rsidRPr="00DD6A2C" w14:paraId="1CBA1C4F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C15E4F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E32C0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EDA0C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CDE0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1DE10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4E650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1.550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8723D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809C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1C53D1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100,45%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C82CB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98,41%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7BC9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188,89%</w:t>
            </w:r>
          </w:p>
        </w:tc>
      </w:tr>
      <w:tr w:rsidR="004D0DC8" w:rsidRPr="00DD6A2C" w14:paraId="1B9F76C9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280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3D2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29E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55F3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205C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4DD3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66D3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92E6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5E14A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78,52%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08C6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77,17%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63D6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214,29%</w:t>
            </w:r>
          </w:p>
        </w:tc>
      </w:tr>
      <w:tr w:rsidR="004D0DC8" w:rsidRPr="00DD6A2C" w14:paraId="7549FFD0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F9CBDF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328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C57E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54A9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1.587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AED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1A9B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9907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76EF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97FE8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76,62%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B04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75,93%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2D10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89,25%</w:t>
            </w:r>
          </w:p>
        </w:tc>
      </w:tr>
      <w:tr w:rsidR="004D0DC8" w:rsidRPr="00DD6A2C" w14:paraId="3172180B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2E7BB9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4280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5194A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2.221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BF9B9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2.117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BFAA3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F1139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8353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6F01E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A9FE13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77,08%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84E6F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76,24%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E215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98,00%</w:t>
            </w:r>
          </w:p>
        </w:tc>
      </w:tr>
      <w:tr w:rsidR="004D0DC8" w:rsidRPr="00DD6A2C" w14:paraId="65A7FB92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721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DB4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6244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AB11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79F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604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D80C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1823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C8B55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97,18%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A2D8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109,58%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1C6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3,03%</w:t>
            </w:r>
          </w:p>
        </w:tc>
      </w:tr>
      <w:tr w:rsidR="004D0DC8" w:rsidRPr="00DD6A2C" w14:paraId="15F8C7A3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86B08A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994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C4CA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6383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6F4F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F710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1061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2AE2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61FF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165,00%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C13E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164,75%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5765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200,00%</w:t>
            </w:r>
          </w:p>
        </w:tc>
      </w:tr>
      <w:tr w:rsidR="004D0DC8" w:rsidRPr="00EF7E63" w14:paraId="31F334AA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40F735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869C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8EF8B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792B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F540D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C54C5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0DEC4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2E882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2A45F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110,61%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CBE47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121,56%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09404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5,97%</w:t>
            </w:r>
          </w:p>
        </w:tc>
      </w:tr>
      <w:tr w:rsidR="004D0DC8" w:rsidRPr="00DD6A2C" w14:paraId="0849BDBE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2DEE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EAF0" w14:textId="77777777" w:rsidR="004D0DC8" w:rsidRPr="00AB0C51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Jastrebarsko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FCD1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C6F6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BB0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12B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F24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ED0E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007C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122,64%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828E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127,39%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6E3B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188,14%</w:t>
            </w:r>
          </w:p>
        </w:tc>
      </w:tr>
      <w:tr w:rsidR="004D0DC8" w:rsidRPr="00DD6A2C" w14:paraId="7934547B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000DD9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D335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Novi Zagreb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05A9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3.421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3D0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3.204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3F80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D66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0F26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124A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8DBF6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113,50%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416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116,73%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9393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176,54%</w:t>
            </w:r>
          </w:p>
        </w:tc>
      </w:tr>
      <w:tr w:rsidR="004D0DC8" w:rsidRPr="00DD6A2C" w14:paraId="2923B8A1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799F5A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1B5B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Samobor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0260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1.931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0E98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C0FC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510A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2.396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C3FE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BDF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16B46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124,08%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D5D8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124,25%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A030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197,40%</w:t>
            </w:r>
          </w:p>
        </w:tc>
      </w:tr>
      <w:tr w:rsidR="004D0DC8" w:rsidRPr="00DD6A2C" w14:paraId="2A8B0FE7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A6EC71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8596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Zaprešić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A93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DF8D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F9FE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728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53B4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007D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94594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105,94%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186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108,59%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7245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81,71%</w:t>
            </w:r>
          </w:p>
        </w:tc>
      </w:tr>
      <w:tr w:rsidR="004D0DC8" w:rsidRPr="00DD6A2C" w14:paraId="3C7EE14D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3EDDE0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B3C22" w14:textId="77777777" w:rsidR="004D0DC8" w:rsidRPr="00AB0C51" w:rsidRDefault="004D0DC8" w:rsidP="004D0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 w:rsidRPr="00AB0C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EEC7C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7.868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731EE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7.302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76008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FE144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9.123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5BCEB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8.650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1618C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C22D8A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115,95%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59E26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118,46%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4F1FA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158,19%</w:t>
            </w:r>
          </w:p>
        </w:tc>
      </w:tr>
      <w:tr w:rsidR="004D0DC8" w:rsidRPr="00DD6A2C" w14:paraId="462C7FCD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C50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4FF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Beli</w:t>
            </w:r>
            <w:proofErr w:type="spellEnd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Manastir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D0EC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B937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64E6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9672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8334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4958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D26A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108,28%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9D99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108,10%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DE73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300,00%</w:t>
            </w:r>
          </w:p>
        </w:tc>
      </w:tr>
      <w:tr w:rsidR="004D0DC8" w:rsidRPr="00DD6A2C" w14:paraId="26664887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42FAC3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F63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Donji</w:t>
            </w:r>
            <w:proofErr w:type="spellEnd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Miholjac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DEBE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05DA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4B95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7F06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DEA5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501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AE33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99,74%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DB73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86E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66,67%</w:t>
            </w:r>
          </w:p>
        </w:tc>
      </w:tr>
      <w:tr w:rsidR="004D0DC8" w:rsidRPr="00DD6A2C" w14:paraId="138381AE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CF9192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976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2E67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8B4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A63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09FD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190A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6B5A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290F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100,06%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404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F19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133,33%</w:t>
            </w:r>
          </w:p>
        </w:tc>
      </w:tr>
      <w:tr w:rsidR="004D0DC8" w:rsidRPr="00DD6A2C" w14:paraId="5CBB0EE8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712B6C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7A1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Valpovo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37C2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FD1B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487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F64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52BA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7DDE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826DB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100,93%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76DC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101,09%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B83C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50,00%</w:t>
            </w:r>
          </w:p>
        </w:tc>
      </w:tr>
      <w:tr w:rsidR="004D0DC8" w:rsidRPr="00EF7E63" w14:paraId="0A8D94A8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F37BB2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140EC6" w14:textId="77777777" w:rsidR="004D0DC8" w:rsidRPr="00AB0C51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Pr="00AB0C51">
              <w:rPr>
                <w:rFonts w:ascii="Calibri" w:hAnsi="Calibri" w:cs="Calibri"/>
                <w:b/>
                <w:bCs/>
                <w:sz w:val="20"/>
                <w:szCs w:val="20"/>
              </w:rPr>
              <w:t>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87BDE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5.438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8E6B4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5.422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B5E9B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D30AE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565DC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903B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F094EA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101,78%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8DC48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101,75%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B8472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120,00%</w:t>
            </w:r>
          </w:p>
        </w:tc>
      </w:tr>
      <w:tr w:rsidR="004D0DC8" w:rsidRPr="00DD6A2C" w14:paraId="2BCBDA1F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896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3E3D" w14:textId="77777777" w:rsidR="004D0DC8" w:rsidRPr="00AB0C51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sz w:val="20"/>
                <w:szCs w:val="20"/>
              </w:rPr>
              <w:t>Buje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A8BC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B83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1.894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358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264B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D911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3574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7FC4F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113,34%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7416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117,79%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5236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36,54%</w:t>
            </w:r>
          </w:p>
        </w:tc>
      </w:tr>
      <w:tr w:rsidR="004D0DC8" w:rsidRPr="00DD6A2C" w14:paraId="790558C7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67B977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FEBC" w14:textId="77777777" w:rsidR="004D0DC8" w:rsidRPr="00AB0C51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sz w:val="20"/>
                <w:szCs w:val="20"/>
              </w:rPr>
              <w:t>Buzet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F3CD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E46C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DC9A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E26E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7ED0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BD47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3C828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100,29%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6CF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100,29%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B0FA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</w:tr>
      <w:tr w:rsidR="004D0DC8" w:rsidRPr="00DD6A2C" w14:paraId="012360E2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D2BD11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13080" w14:textId="77777777" w:rsidR="004D0DC8" w:rsidRPr="00AB0C51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r w:rsidRPr="00AB0C51">
              <w:rPr>
                <w:rFonts w:ascii="Calibri" w:hAnsi="Calibri" w:cs="Calibri"/>
                <w:sz w:val="20"/>
                <w:szCs w:val="20"/>
              </w:rPr>
              <w:t>Labin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E93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A63F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9D1C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25B7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CEF8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EDAF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773D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93,33%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54CC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91,97%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F649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180,00%</w:t>
            </w:r>
          </w:p>
        </w:tc>
      </w:tr>
      <w:tr w:rsidR="004D0DC8" w:rsidRPr="00DD6A2C" w14:paraId="64258039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548780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4152" w14:textId="77777777" w:rsidR="004D0DC8" w:rsidRPr="00AB0C51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sz w:val="20"/>
                <w:szCs w:val="20"/>
              </w:rPr>
              <w:t>Pazin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39C2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9D12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9378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4342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1642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D126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7BD27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91,23%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062C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90,59%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1FF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137,50%</w:t>
            </w:r>
          </w:p>
        </w:tc>
      </w:tr>
      <w:tr w:rsidR="004D0DC8" w:rsidRPr="00DD6A2C" w14:paraId="4CF376BD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DB4E77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BB7C" w14:textId="77777777" w:rsidR="004D0DC8" w:rsidRPr="00AB0C51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r w:rsidRPr="00AB0C51">
              <w:rPr>
                <w:rFonts w:ascii="Calibri" w:hAnsi="Calibri" w:cs="Calibri"/>
                <w:sz w:val="20"/>
                <w:szCs w:val="20"/>
              </w:rPr>
              <w:t>Poreč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57C8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74A3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8086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8BF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45FF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178E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7A296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96,72%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533B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95,73%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E3B3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175,00%</w:t>
            </w:r>
          </w:p>
        </w:tc>
      </w:tr>
      <w:tr w:rsidR="004D0DC8" w:rsidRPr="00EF7E63" w14:paraId="5D81210D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31F19E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32C788" w14:textId="77777777" w:rsidR="004D0DC8" w:rsidRPr="00AB0C51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Pr="00AB0C51">
              <w:rPr>
                <w:rFonts w:ascii="Calibri" w:hAnsi="Calibri" w:cs="Calibri"/>
                <w:b/>
                <w:bCs/>
                <w:sz w:val="20"/>
                <w:szCs w:val="20"/>
              </w:rPr>
              <w:t>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1D80D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6.037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E4F9D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5.867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52AF5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1E43F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6.102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22825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5.969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F507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EEF805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101,08%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AD84E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101,74%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D138E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81,60%</w:t>
            </w:r>
          </w:p>
        </w:tc>
      </w:tr>
      <w:tr w:rsidR="004D0DC8" w:rsidRPr="00DD6A2C" w14:paraId="1B626E30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AD5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191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6C66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C57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4551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159D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DBC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B79F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2E66D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98,46%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BA7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488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64,41%</w:t>
            </w:r>
          </w:p>
        </w:tc>
      </w:tr>
      <w:tr w:rsidR="004D0DC8" w:rsidRPr="00DD6A2C" w14:paraId="7EFAA42E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A29E6A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36061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15216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B0820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7842A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A27FF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13615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8A658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65CFED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98,46%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E66F7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4E32A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64,41%</w:t>
            </w:r>
          </w:p>
        </w:tc>
      </w:tr>
      <w:tr w:rsidR="004D0DC8" w:rsidRPr="00DD6A2C" w14:paraId="5BFC986E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5A6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24C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46FF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7F46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5.056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7F60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61F8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5.099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3F4E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715C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ABD7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99,47%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47AF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99,76%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D463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88,71%</w:t>
            </w:r>
          </w:p>
        </w:tc>
      </w:tr>
      <w:tr w:rsidR="004D0DC8" w:rsidRPr="00DD6A2C" w14:paraId="6FD5C312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470A0F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20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11F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F5C9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FCC7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3F99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B52E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83D1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D492A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99,75%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C2F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100,25%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0A7E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87,50%</w:t>
            </w:r>
          </w:p>
        </w:tc>
      </w:tr>
      <w:tr w:rsidR="004D0DC8" w:rsidRPr="00DD6A2C" w14:paraId="35554A02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6A9834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EDAE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C0466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6.338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59B4A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6.248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3952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2EAF8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068C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6.239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9107A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DFEF62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99,53%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EF484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99,86%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B4EF8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88,46%</w:t>
            </w:r>
          </w:p>
        </w:tc>
      </w:tr>
      <w:tr w:rsidR="004D0DC8" w:rsidRPr="00DD6A2C" w14:paraId="5C52D0C9" w14:textId="77777777" w:rsidTr="00D46984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0B44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FB0" w14:textId="77777777" w:rsidR="004D0DC8" w:rsidRPr="00AB0C51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Čabar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137C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5F5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3CD3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31C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3043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6A8C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57D24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116,55%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E6D0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115,97%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959B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200,00%</w:t>
            </w:r>
          </w:p>
        </w:tc>
      </w:tr>
      <w:tr w:rsidR="004D0DC8" w:rsidRPr="00DD6A2C" w14:paraId="27B90616" w14:textId="77777777" w:rsidTr="00D46984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020A807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FBCC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Delnice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A804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7DBF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5BB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51F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C85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DB9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361EE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95,69%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0C4E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102,95%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E726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14,93%</w:t>
            </w:r>
          </w:p>
        </w:tc>
      </w:tr>
      <w:tr w:rsidR="004D0DC8" w:rsidRPr="00DD6A2C" w14:paraId="3C9B18A1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02B33D7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B47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Mali </w:t>
            </w: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Lošinj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00C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98E8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E674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BECA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2737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3BFC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0BCDD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99,06%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A2B0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102,61%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15C9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61,04%</w:t>
            </w:r>
          </w:p>
        </w:tc>
      </w:tr>
      <w:tr w:rsidR="004D0DC8" w:rsidRPr="00DD6A2C" w14:paraId="68B79803" w14:textId="77777777" w:rsidTr="00D46984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50C9C4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835" w14:textId="77777777" w:rsidR="004D0DC8" w:rsidRPr="00AB0C51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B0C51">
              <w:rPr>
                <w:rFonts w:ascii="Calibri" w:hAnsi="Calibri" w:cs="Calibri"/>
                <w:color w:val="000000"/>
                <w:sz w:val="20"/>
                <w:szCs w:val="20"/>
              </w:rPr>
              <w:t>Opatija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F8F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63BB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D3AA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0502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55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2FA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82598" w14:textId="77777777" w:rsidR="004D0DC8" w:rsidRPr="00D46984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46984">
              <w:rPr>
                <w:rFonts w:ascii="Calibri" w:hAnsi="Calibri" w:cs="Calibri"/>
                <w:color w:val="000000"/>
                <w:sz w:val="18"/>
                <w:szCs w:val="22"/>
              </w:rPr>
              <w:t>87,94%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7341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89,29%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5A06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64,71%</w:t>
            </w:r>
          </w:p>
        </w:tc>
      </w:tr>
      <w:tr w:rsidR="004D0DC8" w:rsidRPr="00DD6A2C" w14:paraId="4A73544E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9F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77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586B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7C1D6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6.788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3F4BA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05013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7.461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CADD6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7.374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5C8C8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4528F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108,01%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010BE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108,63%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F1CDF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77,68%</w:t>
            </w:r>
          </w:p>
        </w:tc>
      </w:tr>
      <w:tr w:rsidR="004D0DC8" w:rsidRPr="00DD6A2C" w14:paraId="6B6980E5" w14:textId="77777777" w:rsidTr="004D0DC8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575FE2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1B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629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A9F1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F37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A32C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A397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167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8DE3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124,61%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0E26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123,68%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B6DA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300,00%</w:t>
            </w:r>
          </w:p>
        </w:tc>
      </w:tr>
      <w:tr w:rsidR="004D0DC8" w:rsidRPr="00DD6A2C" w14:paraId="656E67E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982BA80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9A1F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8001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10.534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F8270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10.206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FE2BF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EA205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10.931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E87B0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10.749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C376D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220E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103,77%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43E0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105,32%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EBF6F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58,90%</w:t>
            </w:r>
          </w:p>
        </w:tc>
      </w:tr>
      <w:tr w:rsidR="004D0DC8" w:rsidRPr="00DD6A2C" w14:paraId="19EE4CD2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526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EFBC8" w14:textId="77777777" w:rsidR="004D0DC8" w:rsidRPr="008F1F2E" w:rsidRDefault="004D0DC8" w:rsidP="004D0DC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Dugo</w:t>
            </w:r>
            <w:proofErr w:type="spellEnd"/>
            <w:r w:rsidRPr="008F1F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DED7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CB95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F0BC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3EBF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1D2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F5EB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265F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92,58%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F288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91,90%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35EF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230,00%</w:t>
            </w:r>
          </w:p>
        </w:tc>
      </w:tr>
      <w:tr w:rsidR="004D0DC8" w:rsidRPr="00DD6A2C" w14:paraId="07DA3A4B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605E52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4492F" w14:textId="77777777" w:rsidR="004D0DC8" w:rsidRPr="008F1F2E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Sesvete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83EE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211E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60A5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848C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06E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FD66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1874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91,46%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0C3A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91,71%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DE0E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95,65%</w:t>
            </w:r>
          </w:p>
        </w:tc>
      </w:tr>
      <w:tr w:rsidR="004D0DC8" w:rsidRPr="00DD6A2C" w14:paraId="580F9329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9FAF53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EDC29" w14:textId="77777777" w:rsidR="004D0DC8" w:rsidRPr="008F1F2E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Sveti</w:t>
            </w:r>
            <w:proofErr w:type="spellEnd"/>
            <w:r w:rsidRPr="008F1F2E">
              <w:rPr>
                <w:rFonts w:ascii="Calibri" w:hAnsi="Calibri" w:cs="Calibri"/>
                <w:sz w:val="20"/>
                <w:szCs w:val="20"/>
              </w:rPr>
              <w:t xml:space="preserve"> Ivan </w:t>
            </w: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Zelina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0D0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76CB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2885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44B1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80A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EA7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B2D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86,13%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C5B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88,36%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86D8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101,56%</w:t>
            </w:r>
          </w:p>
        </w:tc>
      </w:tr>
      <w:tr w:rsidR="004D0DC8" w:rsidRPr="00DD6A2C" w14:paraId="3D4B9565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88D7D0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2A6C0" w14:textId="77777777" w:rsidR="004D0DC8" w:rsidRPr="008F1F2E" w:rsidRDefault="004D0DC8" w:rsidP="004D0DC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sz w:val="20"/>
                <w:szCs w:val="20"/>
              </w:rPr>
              <w:t>Vrbovec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3DD7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4875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8A4F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C7BF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C27A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99CE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58AD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102,28%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CE93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103,46%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B03B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95,65%</w:t>
            </w:r>
          </w:p>
        </w:tc>
      </w:tr>
      <w:tr w:rsidR="004D0DC8" w:rsidRPr="005A65AD" w14:paraId="2ABB6811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7AF29D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E426DF" w14:textId="77777777" w:rsidR="004D0DC8" w:rsidRPr="008F1F2E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B3FAB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A6708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3.689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71B3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1D08A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E163B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BBC2D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2E9E0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93,21%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70556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93,77%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9C79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106,02%</w:t>
            </w:r>
          </w:p>
        </w:tc>
      </w:tr>
      <w:tr w:rsidR="004D0DC8" w:rsidRPr="00DD6A2C" w14:paraId="62D28E81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73C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871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Dvor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3E36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7C3C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E8F9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AB8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0466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A5CE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B2B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87,27%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3B5F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8103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141,67%</w:t>
            </w:r>
          </w:p>
        </w:tc>
      </w:tr>
      <w:tr w:rsidR="004D0DC8" w:rsidRPr="00DD6A2C" w14:paraId="21F04478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2B1CF1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D16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Glina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8610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E3F4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F41F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193A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9D34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C07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41F8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84,55%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A46A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90,85%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288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87,50%</w:t>
            </w:r>
          </w:p>
        </w:tc>
      </w:tr>
      <w:tr w:rsidR="004D0DC8" w:rsidRPr="00DD6A2C" w14:paraId="077F7B3F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97F7461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D56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Gvozd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52CC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299C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2C4A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E440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5B8B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AE51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49E0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79,46%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FE64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85,58%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253A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75,00%</w:t>
            </w:r>
          </w:p>
        </w:tc>
      </w:tr>
      <w:tr w:rsidR="004D0DC8" w:rsidRPr="00DD6A2C" w14:paraId="7BB08221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0A7C9F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89F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Hrv</w:t>
            </w:r>
            <w:proofErr w:type="spellEnd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. Kostajnica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759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DB1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91F8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42C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1690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6C7A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5F53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95,13%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BE9A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99,73%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FCD3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114,29%</w:t>
            </w:r>
          </w:p>
        </w:tc>
      </w:tr>
      <w:tr w:rsidR="004D0DC8" w:rsidRPr="00DD6A2C" w14:paraId="5EC868BC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D7D334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3957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Petrinja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277B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6F79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A62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45D3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8FD8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986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E87E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99,39%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FAD5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97,94%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8E7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150,00%</w:t>
            </w:r>
          </w:p>
        </w:tc>
      </w:tr>
      <w:tr w:rsidR="004D0DC8" w:rsidRPr="00DD6A2C" w14:paraId="7966BE23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966D7B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5D6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Sisak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E2F5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B4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2.192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E5D8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5F36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AD6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2.080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2597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DED8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94,54%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F78E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94,89%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E8D7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96,88%</w:t>
            </w:r>
          </w:p>
        </w:tc>
      </w:tr>
      <w:tr w:rsidR="004D0DC8" w:rsidRPr="005A65AD" w14:paraId="4D307CB9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5993AB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6ECEB6" w14:textId="77777777" w:rsidR="004D0DC8" w:rsidRPr="008F1F2E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FCC73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4.154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72DA60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06F7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30F2D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E1B87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6E7F3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12BCC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93,16%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1757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95,30%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509A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108,33%</w:t>
            </w:r>
          </w:p>
        </w:tc>
      </w:tr>
      <w:tr w:rsidR="004D0DC8" w:rsidRPr="00DD6A2C" w14:paraId="3469A34D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75D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2AC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Nova </w:t>
            </w: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Gradiška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E332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D7D5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E5D8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6E59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30B7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B380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265E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107,80%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C093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107,12%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A429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178,57%</w:t>
            </w:r>
          </w:p>
        </w:tc>
      </w:tr>
      <w:tr w:rsidR="004D0DC8" w:rsidRPr="00DD6A2C" w14:paraId="0123159A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3AA91E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EA0" w14:textId="77777777" w:rsidR="004D0DC8" w:rsidRPr="008F1F2E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Slavonski</w:t>
            </w:r>
            <w:proofErr w:type="spellEnd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F2E">
              <w:rPr>
                <w:rFonts w:ascii="Calibri" w:hAnsi="Calibri" w:cs="Calibri"/>
                <w:color w:val="000000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8713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B798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459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4EDB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FD42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BAEC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C8F1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102,00%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135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102,21%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0E4B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101,47%</w:t>
            </w:r>
          </w:p>
        </w:tc>
      </w:tr>
      <w:tr w:rsidR="004D0DC8" w:rsidRPr="005A65AD" w14:paraId="68A08CD6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A00759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ACB225" w14:textId="77777777" w:rsidR="004D0DC8" w:rsidRPr="008F1F2E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F1F2E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3B1DE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F6959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3.810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D65D1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BDF68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A845E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3.950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8DAD9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4971E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103,72%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A4813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103,67%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FD047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114,63%</w:t>
            </w:r>
          </w:p>
        </w:tc>
      </w:tr>
      <w:tr w:rsidR="004D0DC8" w:rsidRPr="00DD6A2C" w14:paraId="7FA31DF7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E82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093A" w14:textId="77777777" w:rsidR="004D0DC8" w:rsidRPr="007E1369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Kaštel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ukšić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ED46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7678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CA14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1F5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5451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73A1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CAF4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84,71%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A9E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83,98%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F9D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114,89%</w:t>
            </w:r>
          </w:p>
        </w:tc>
      </w:tr>
      <w:tr w:rsidR="004D0DC8" w:rsidRPr="00DD6A2C" w14:paraId="5B3C0807" w14:textId="77777777" w:rsidTr="004D0DC8">
        <w:trPr>
          <w:trHeight w:val="248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FC198C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AA24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miš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1E22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C9E3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C35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B14D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BD6E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FF80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A8FB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86,15%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8264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84,15%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1B15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184,44%</w:t>
            </w:r>
          </w:p>
        </w:tc>
      </w:tr>
      <w:tr w:rsidR="004D0DC8" w:rsidRPr="00DD6A2C" w14:paraId="64F5CFBB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90CD6B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8EA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6DBA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69A0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F9CA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A005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C20F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953E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4E39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92,99%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CF34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97,42%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E8EB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29,31%</w:t>
            </w:r>
          </w:p>
        </w:tc>
      </w:tr>
      <w:tr w:rsidR="004D0DC8" w:rsidRPr="00DD6A2C" w14:paraId="5824DA32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52F1D4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757F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olin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2610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125D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140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A553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D35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022A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D226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77,78%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E825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79,92%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A4BA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60,00%</w:t>
            </w:r>
          </w:p>
        </w:tc>
      </w:tr>
      <w:tr w:rsidR="004D0DC8" w:rsidRPr="00DD6A2C" w14:paraId="53742FA7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8D3A787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A716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plit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C9D9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4.475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6258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4.177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9D7E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C6D2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4.195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EF1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75C1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4639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93,74%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DD9D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91,98%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B179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197,21%</w:t>
            </w:r>
          </w:p>
        </w:tc>
      </w:tr>
      <w:tr w:rsidR="004D0DC8" w:rsidRPr="00DD6A2C" w14:paraId="26DE25E5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B54FDE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21EB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rad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836B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9195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D5A1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7305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6C56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0296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05F1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77,13%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C716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77,69%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6A4D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78,26%</w:t>
            </w:r>
          </w:p>
        </w:tc>
      </w:tr>
      <w:tr w:rsidR="004D0DC8" w:rsidRPr="00DD6A2C" w14:paraId="79AE6B26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360839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ABE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upetar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E1EC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065A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8A6F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14E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412A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D3D2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F035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108,96%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E19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110,86%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8A1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101,56%</w:t>
            </w:r>
          </w:p>
        </w:tc>
      </w:tr>
      <w:tr w:rsidR="004D0DC8" w:rsidRPr="00DD6A2C" w14:paraId="635B349A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351913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6B29" w14:textId="77777777" w:rsidR="004D0DC8" w:rsidRPr="007E1369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7E1369">
              <w:rPr>
                <w:rFonts w:ascii="Calibri" w:hAnsi="Calibri" w:cs="Calibri"/>
                <w:color w:val="000000"/>
                <w:sz w:val="20"/>
                <w:szCs w:val="20"/>
              </w:rPr>
              <w:t>rogir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4DED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6650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EA5D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D235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097B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937A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8B1E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76,11%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83A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75,66%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E4EA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129,07%</w:t>
            </w:r>
          </w:p>
        </w:tc>
      </w:tr>
      <w:tr w:rsidR="004D0DC8" w:rsidRPr="005A65AD" w14:paraId="714D504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CFDE80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9747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A7823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12.856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3B68E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11.738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40F3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81B0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11.491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71ACEA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10.457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0370E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0E932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89,38%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30EF9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89,09%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64C10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124,58%</w:t>
            </w:r>
          </w:p>
        </w:tc>
      </w:tr>
      <w:tr w:rsidR="004D0DC8" w:rsidRPr="00DD6A2C" w14:paraId="3CAF91C1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8D5D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822" w14:textId="77777777" w:rsidR="004D0DC8" w:rsidRPr="00543100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Drniš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917E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6D3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86C5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10BA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94C3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E344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7334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86,79%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7BF5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104,59%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4CA3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72,94%</w:t>
            </w:r>
          </w:p>
        </w:tc>
      </w:tr>
      <w:tr w:rsidR="004D0DC8" w:rsidRPr="00DD6A2C" w14:paraId="4978660A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6775BC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447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Knin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A22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04BB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55EE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5CEF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1521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701F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330C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77,94%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235A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83,48%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123D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15,38%</w:t>
            </w:r>
          </w:p>
        </w:tc>
      </w:tr>
      <w:tr w:rsidR="004D0DC8" w:rsidRPr="00DD6A2C" w14:paraId="2A862E37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2AEF684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436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Šibenik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124F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37A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6E6C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0C24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9F10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0DEE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42EB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89,04%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00FE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93,19%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F9F7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42,70%</w:t>
            </w:r>
          </w:p>
        </w:tc>
      </w:tr>
      <w:tr w:rsidR="004D0DC8" w:rsidRPr="00DD6A2C" w14:paraId="24F61C4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8A7C97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A76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Tisno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3331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C24F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209B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C8FD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738C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AB01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2553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78,05%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C30A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79,34%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2E19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73,02%</w:t>
            </w:r>
          </w:p>
        </w:tc>
      </w:tr>
      <w:tr w:rsidR="004D0DC8" w:rsidRPr="005A65AD" w14:paraId="2A6FEA12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0A88EC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79B20C" w14:textId="77777777" w:rsidR="004D0DC8" w:rsidRPr="00543100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B03CB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5.481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1627D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02A059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CE2FF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2714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4.487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01E6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C755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86,13%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5E95D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90,79%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A6860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50,00%</w:t>
            </w:r>
          </w:p>
        </w:tc>
      </w:tr>
      <w:tr w:rsidR="004D0DC8" w:rsidRPr="00DD6A2C" w14:paraId="448A5373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B3C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657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Ivanec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E94A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8A2F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13D6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D06B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8393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86B9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4741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100,56%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5A5D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119,26%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6FD2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84,15%</w:t>
            </w:r>
          </w:p>
        </w:tc>
      </w:tr>
      <w:tr w:rsidR="004D0DC8" w:rsidRPr="00DD6A2C" w14:paraId="04E8AB4B" w14:textId="77777777" w:rsidTr="004D0DC8">
        <w:trPr>
          <w:trHeight w:val="300"/>
        </w:trPr>
        <w:tc>
          <w:tcPr>
            <w:tcW w:w="678" w:type="pct"/>
            <w:vMerge/>
            <w:tcBorders>
              <w:top w:val="single" w:sz="4" w:space="0" w:color="auto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9B048E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5DC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Ludbreg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2A10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3BF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3563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F0EE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CE54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AC3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B98E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97,17%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5023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97,76%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322B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89,58%</w:t>
            </w:r>
          </w:p>
        </w:tc>
      </w:tr>
      <w:tr w:rsidR="004D0DC8" w:rsidRPr="00DD6A2C" w14:paraId="4DB7CD63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D000ED2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F6F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Novi </w:t>
            </w: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Marof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839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30F8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74F1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1DCE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36E1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2633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4CAB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82,93%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1758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103,36%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63B2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83,20%</w:t>
            </w:r>
          </w:p>
        </w:tc>
      </w:tr>
      <w:tr w:rsidR="004D0DC8" w:rsidRPr="00DD6A2C" w14:paraId="0C634680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F4F2BB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377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Varaždin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7CE5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2.213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42F8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0504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4351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4AA6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9704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401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96,52%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5B7C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100,78%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9209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65,38%</w:t>
            </w:r>
          </w:p>
        </w:tc>
      </w:tr>
      <w:tr w:rsidR="004D0DC8" w:rsidRPr="00DD6A2C" w14:paraId="5CE679A5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7945E9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FD8245" w14:textId="77777777" w:rsidR="004D0DC8" w:rsidRPr="00543100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7B92D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4.907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D330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5B3CC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368E3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FA55C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B99AE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790B3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94,86%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B0927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104,29%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EF499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80,71%</w:t>
            </w:r>
          </w:p>
        </w:tc>
      </w:tr>
      <w:tr w:rsidR="004D0DC8" w:rsidRPr="00DD6A2C" w14:paraId="379F7AFE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8B4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>VELIKA GORICA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B3C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CCF54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9DF6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AB50C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03631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BF5C8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0B66B" w14:textId="77777777" w:rsid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332FD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111,20%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7E129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111,35%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5C626" w14:textId="77777777" w:rsidR="004D0DC8" w:rsidRPr="004D0DC8" w:rsidRDefault="004D0DC8" w:rsidP="004D0DC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  <w:lang w:val="hr-HR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133,33%</w:t>
            </w:r>
          </w:p>
        </w:tc>
      </w:tr>
      <w:tr w:rsidR="004D0DC8" w:rsidRPr="00DD6A2C" w14:paraId="4AAA1A05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C3E3E48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274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278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A05F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4BCD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D363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6632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5BFD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D15D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84,33%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C7DB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85,32%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F21A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82,09%</w:t>
            </w:r>
          </w:p>
        </w:tc>
      </w:tr>
      <w:tr w:rsidR="004D0DC8" w:rsidRPr="00DD6A2C" w14:paraId="5B658E3B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AB5074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6453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F9BE1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2.377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FF8A1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2.284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629F7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BF6F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8E22B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2.107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D5CCA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18C8C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91,29%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DC722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92,25%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13606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86,30%</w:t>
            </w:r>
          </w:p>
        </w:tc>
      </w:tr>
      <w:tr w:rsidR="004D0DC8" w:rsidRPr="00DD6A2C" w14:paraId="3B87A06F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639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DBE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Otok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9665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8ED2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DE1A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7B01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C5BE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2B3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166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103,55%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42F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103,78%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EE3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66,67%</w:t>
            </w:r>
          </w:p>
        </w:tc>
      </w:tr>
      <w:tr w:rsidR="004D0DC8" w:rsidRPr="00DD6A2C" w14:paraId="500581E7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D2288F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EA0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847D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E48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3548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E77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2.667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840F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0C64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3726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192,29%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7ABF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192,15%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CC31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328,57%</w:t>
            </w:r>
          </w:p>
        </w:tc>
      </w:tr>
      <w:tr w:rsidR="004D0DC8" w:rsidRPr="00DD6A2C" w14:paraId="42AC9E83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E55635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05E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A742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7875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0CA4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D21A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0899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B26D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D0C4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100,21%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CA5E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100,53%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686C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60,00%</w:t>
            </w:r>
          </w:p>
        </w:tc>
      </w:tr>
      <w:tr w:rsidR="004D0DC8" w:rsidRPr="00DD6A2C" w14:paraId="2BD8A72F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349DFD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DAD5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90129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2.812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26DE6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303A8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41ACE7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92D05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4.083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4E885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09AE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146,19%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D3D6C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146,24%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E36CF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186,67%</w:t>
            </w:r>
          </w:p>
        </w:tc>
      </w:tr>
      <w:tr w:rsidR="004D0DC8" w:rsidRPr="00DD6A2C" w14:paraId="044C39BB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349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FDC" w14:textId="77777777" w:rsidR="004D0DC8" w:rsidRPr="00543100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Orahovica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DEAA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0F44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8CE5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0CB6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8FD0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0972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31B9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97,45%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5B3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87EF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270,00%</w:t>
            </w:r>
          </w:p>
        </w:tc>
      </w:tr>
      <w:tr w:rsidR="004D0DC8" w:rsidRPr="00DD6A2C" w14:paraId="56849F94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7B4F668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166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Pitomača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B53D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D663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7C59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327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527A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EF8F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34BD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96,54%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1650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101,50%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D82E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231,25%</w:t>
            </w:r>
          </w:p>
        </w:tc>
      </w:tr>
      <w:tr w:rsidR="004D0DC8" w:rsidRPr="00DD6A2C" w14:paraId="5FC5E226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8EAD6B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908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Slatina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611D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8097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05E0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3B15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75A6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0EA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632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96,79%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FAF6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102,46%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7D86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141,46%</w:t>
            </w:r>
          </w:p>
        </w:tc>
      </w:tr>
      <w:tr w:rsidR="004D0DC8" w:rsidRPr="00DD6A2C" w14:paraId="2652D93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581BA0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970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Virovitica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5EEB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296F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6C1C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4914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6F6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6A0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8523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103,83%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66F8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104,19%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26C5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108,33%</w:t>
            </w:r>
          </w:p>
        </w:tc>
      </w:tr>
      <w:tr w:rsidR="004D0DC8" w:rsidRPr="00DD6A2C" w14:paraId="3ED9DDE1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364C34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A3D3D4" w14:textId="77777777" w:rsidR="004D0DC8" w:rsidRPr="00543100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025AD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2.765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639004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98E63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C469BB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18E2A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D0C7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93461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100,18%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F4773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102,92%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8E157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182,02%</w:t>
            </w:r>
          </w:p>
        </w:tc>
      </w:tr>
      <w:tr w:rsidR="004D0DC8" w:rsidRPr="00DD6A2C" w14:paraId="786CD08C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D94E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3A2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Ilok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766E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4CD0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B004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58E9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CDE1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04BD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AD90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101,73%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43AB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101,74%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DEE5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100,00%</w:t>
            </w:r>
          </w:p>
        </w:tc>
      </w:tr>
      <w:tr w:rsidR="004D0DC8" w:rsidRPr="00DD6A2C" w14:paraId="3E0EF1AB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189885E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3B38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Vukovar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9883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CA10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989D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95FC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BF15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87B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468C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101,07%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43FF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100,88%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7680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142,86%</w:t>
            </w:r>
          </w:p>
        </w:tc>
      </w:tr>
      <w:tr w:rsidR="004D0DC8" w:rsidRPr="005A65AD" w14:paraId="6858551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E5A033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A2381" w14:textId="77777777" w:rsidR="004D0DC8" w:rsidRPr="00543100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70F37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39E44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F6E71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0BFD6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1.337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060E8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68E36F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E9D33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101,21%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59DB0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101,07%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34456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137,50%</w:t>
            </w:r>
          </w:p>
        </w:tc>
      </w:tr>
      <w:tr w:rsidR="004D0DC8" w:rsidRPr="00DD6A2C" w14:paraId="7DBC1CA8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6AB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EA3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Benkovac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475C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62BF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1FED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B7DC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755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18B1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0BE9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97,78%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BFE7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91,22%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E1F1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210,71%</w:t>
            </w:r>
          </w:p>
        </w:tc>
      </w:tr>
      <w:tr w:rsidR="004D0DC8" w:rsidRPr="00DD6A2C" w14:paraId="6CC35834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4A44EAB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6DB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Biograd</w:t>
            </w:r>
            <w:proofErr w:type="spellEnd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n/m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1562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280F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A4E0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1767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B2F3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F255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8B56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96,52%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403B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97,92%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042E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61,11%</w:t>
            </w:r>
          </w:p>
        </w:tc>
      </w:tr>
      <w:tr w:rsidR="004D0DC8" w:rsidRPr="00DD6A2C" w14:paraId="1051E064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1D1BBD40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B8D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Obrovac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00F1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0C52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7EEB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DA70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E0C3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67A4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EFF9E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87,84%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11ED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85,25%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4B7D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145,45%</w:t>
            </w:r>
          </w:p>
        </w:tc>
      </w:tr>
      <w:tr w:rsidR="004D0DC8" w:rsidRPr="00DD6A2C" w14:paraId="0DBB314E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01A17F9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569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Pag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21B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0A0E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88A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32F4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A649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25AA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CE2C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79,19%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3EC6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77,72%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8FD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111,54%</w:t>
            </w:r>
          </w:p>
        </w:tc>
      </w:tr>
      <w:tr w:rsidR="004D0DC8" w:rsidRPr="00DD6A2C" w14:paraId="642ABCB3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15F3D0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828" w14:textId="77777777" w:rsidR="004D0DC8" w:rsidRPr="00543100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3100">
              <w:rPr>
                <w:rFonts w:ascii="Calibri" w:hAnsi="Calibri" w:cs="Calibri"/>
                <w:color w:val="000000"/>
                <w:sz w:val="20"/>
                <w:szCs w:val="20"/>
              </w:rPr>
              <w:t>Zadar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0DC5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7.064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C0B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6.283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7F9A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7F5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6.406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E25B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A78F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E53C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90,69%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1030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97,37%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D5E6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37,35%</w:t>
            </w:r>
          </w:p>
        </w:tc>
      </w:tr>
      <w:tr w:rsidR="004D0DC8" w:rsidRPr="005A65AD" w14:paraId="6BDEF526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56961CD5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CF03E" w14:textId="77777777" w:rsidR="004D0DC8" w:rsidRPr="00543100" w:rsidRDefault="004D0DC8" w:rsidP="004D0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3100"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F964B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9.955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98E94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9.046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399F0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97D59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8.974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EB003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74148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442AB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90,15%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27F78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94,31%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4F438B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49,33%</w:t>
            </w:r>
          </w:p>
        </w:tc>
      </w:tr>
      <w:tr w:rsidR="004D0DC8" w:rsidRPr="00DD6A2C" w14:paraId="2D534CDF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1D9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32A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79A3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45FF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14.285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33A3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DFB0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3C5E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B4B7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BD2D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102,83%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CF6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104,68%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7974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141,60%</w:t>
            </w:r>
          </w:p>
        </w:tc>
      </w:tr>
      <w:tr w:rsidR="004D0DC8" w:rsidRPr="005A65AD" w14:paraId="60B93454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FB8C4D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3CD3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C556E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15.886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4C406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14.285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0F2D3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70378E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16.335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10378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14.953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2FFB75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CE8C2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102,83%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4579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104,68%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00188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141,60%</w:t>
            </w:r>
          </w:p>
        </w:tc>
      </w:tr>
      <w:tr w:rsidR="004D0DC8" w:rsidRPr="00DD6A2C" w14:paraId="39B06F1C" w14:textId="77777777" w:rsidTr="004D0DC8">
        <w:trPr>
          <w:trHeight w:val="300"/>
        </w:trPr>
        <w:tc>
          <w:tcPr>
            <w:tcW w:w="678" w:type="pct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315" w14:textId="77777777" w:rsidR="004D0DC8" w:rsidRPr="00DD6A2C" w:rsidRDefault="004D0DC8" w:rsidP="004D0DC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1AEE" w14:textId="77777777" w:rsidR="004D0DC8" w:rsidRPr="00717DE6" w:rsidRDefault="004D0DC8" w:rsidP="004D0D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Donja</w:t>
            </w:r>
            <w:proofErr w:type="spellEnd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Stubica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6EF2F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2A5E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47CB8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16FD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C728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1B22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D571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120,28%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2F90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131,87%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85C0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94,44%</w:t>
            </w:r>
          </w:p>
        </w:tc>
      </w:tr>
      <w:tr w:rsidR="004D0DC8" w:rsidRPr="00DD6A2C" w14:paraId="00CFD647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0A35FD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657" w14:textId="77777777" w:rsidR="004D0DC8" w:rsidRPr="00717DE6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Klanjec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2EA0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8E0E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8563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FFEC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D01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53C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CED1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101,70%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04A5F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100,75%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EF23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150,00%</w:t>
            </w:r>
          </w:p>
        </w:tc>
      </w:tr>
      <w:tr w:rsidR="004D0DC8" w:rsidRPr="00DD6A2C" w14:paraId="748661BD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405C1CFD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DC6C" w14:textId="77777777" w:rsidR="004D0DC8" w:rsidRPr="00717DE6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Krapina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4D74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29F0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C5F5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12C4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C335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AC6D5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A9A1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113,94%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A4D9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117,03%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EA9D6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142,86%</w:t>
            </w:r>
          </w:p>
        </w:tc>
      </w:tr>
      <w:tr w:rsidR="004D0DC8" w:rsidRPr="00DD6A2C" w14:paraId="77C97E3E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6260782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8BE7" w14:textId="77777777" w:rsidR="004D0DC8" w:rsidRPr="00717DE6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Pregrada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6D4D0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F1CBB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E24B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3B189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EB6EC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C79F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BB4C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98,32%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E2B0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108,59%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56BE7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102,86%</w:t>
            </w:r>
          </w:p>
        </w:tc>
      </w:tr>
      <w:tr w:rsidR="004D0DC8" w:rsidRPr="00DD6A2C" w14:paraId="54894176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07FCFE26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A165" w14:textId="77777777" w:rsidR="004D0DC8" w:rsidRPr="00717DE6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Zabok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24BE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696D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793D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90FC6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E717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0DC3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B25A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94,08%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70F9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103,42%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E1F72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61,54%</w:t>
            </w:r>
          </w:p>
        </w:tc>
      </w:tr>
      <w:tr w:rsidR="004D0DC8" w:rsidRPr="00DD6A2C" w14:paraId="19B7CB94" w14:textId="77777777" w:rsidTr="004D0DC8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4" w:space="0" w:color="auto"/>
            </w:tcBorders>
            <w:vAlign w:val="center"/>
            <w:hideMark/>
          </w:tcPr>
          <w:p w14:paraId="30A13F2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675" w14:textId="77777777" w:rsidR="004D0DC8" w:rsidRPr="00717DE6" w:rsidRDefault="004D0DC8" w:rsidP="004D0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17DE6">
              <w:rPr>
                <w:rFonts w:ascii="Calibri" w:hAnsi="Calibri" w:cs="Calibri"/>
                <w:color w:val="000000"/>
                <w:sz w:val="20"/>
                <w:szCs w:val="20"/>
              </w:rPr>
              <w:t>Zlatar</w:t>
            </w:r>
            <w:proofErr w:type="spell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16BD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1E514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DF3EE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3A5C2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AFB71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CD5BA" w14:textId="77777777" w:rsid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F279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8"/>
                <w:szCs w:val="22"/>
              </w:rPr>
              <w:t>99,58%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5E4C0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106,95%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5569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color w:val="000000"/>
                <w:sz w:val="16"/>
                <w:szCs w:val="22"/>
              </w:rPr>
              <w:t>89,02%</w:t>
            </w:r>
          </w:p>
        </w:tc>
      </w:tr>
      <w:tr w:rsidR="004D0DC8" w:rsidRPr="00DD6A2C" w14:paraId="6041A05E" w14:textId="77777777" w:rsidTr="0058445C">
        <w:trPr>
          <w:trHeight w:val="300"/>
        </w:trPr>
        <w:tc>
          <w:tcPr>
            <w:tcW w:w="678" w:type="pct"/>
            <w:vMerge/>
            <w:tcBorders>
              <w:top w:val="nil"/>
              <w:left w:val="single" w:sz="8" w:space="0" w:color="4472C4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B5BF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E3713" w14:textId="77777777" w:rsidR="004D0DC8" w:rsidRPr="00DD6A2C" w:rsidRDefault="004D0DC8" w:rsidP="004D0DC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3DA2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3.590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35B702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3.066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BA8638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BBD88D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3.772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F7AA1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3.455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C0516C" w14:textId="77777777" w:rsid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007B65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105,07%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A9F64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112,69%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11A708" w14:textId="77777777" w:rsidR="004D0DC8" w:rsidRPr="004D0DC8" w:rsidRDefault="004D0DC8" w:rsidP="004D0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4D0DC8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98,14%</w:t>
            </w:r>
          </w:p>
        </w:tc>
      </w:tr>
      <w:tr w:rsidR="00BC09FD" w:rsidRPr="00DD6A2C" w14:paraId="57FB441F" w14:textId="77777777" w:rsidTr="0058445C">
        <w:trPr>
          <w:trHeight w:val="896"/>
        </w:trPr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0B21468" w14:textId="77777777" w:rsidR="00BC09FD" w:rsidRPr="00DD6A2C" w:rsidRDefault="00BC09FD" w:rsidP="00BC09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DD6A2C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</w:tcPr>
          <w:p w14:paraId="5AC5C6F3" w14:textId="77777777" w:rsidR="00BC09FD" w:rsidRPr="005A65AD" w:rsidRDefault="004D0DC8" w:rsidP="00BC09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144.144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06E4B11" w14:textId="77777777" w:rsidR="00BC09FD" w:rsidRPr="00A57004" w:rsidRDefault="004D0DC8" w:rsidP="00BC0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134.970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242AF81" w14:textId="77777777" w:rsidR="00BC09FD" w:rsidRPr="005A65AD" w:rsidRDefault="004D0DC8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6.731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353CA18" w14:textId="77777777" w:rsidR="00BC09FD" w:rsidRPr="005A65AD" w:rsidRDefault="004D0DC8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141.726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07CD995" w14:textId="77777777" w:rsidR="00BC09FD" w:rsidRPr="00A57004" w:rsidRDefault="001E5F09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134.956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0B3DAF4" w14:textId="77777777" w:rsidR="00BC09FD" w:rsidRPr="005A65AD" w:rsidRDefault="001E5F09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EE7C22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770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EE3BAD3" w14:textId="77777777" w:rsidR="00BC09FD" w:rsidRPr="00DE4C07" w:rsidRDefault="001E5F09" w:rsidP="00BC09F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98,32</w:t>
            </w:r>
            <w:r w:rsidR="00BC09FD" w:rsidRPr="00DE4C07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18317FB" w14:textId="77777777" w:rsidR="00BC09FD" w:rsidRPr="00DE4C07" w:rsidRDefault="001E5F09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99,99</w:t>
            </w:r>
            <w:r w:rsidR="005E7403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D3BBE2A" w14:textId="77777777" w:rsidR="00BC09FD" w:rsidRPr="00DE4C07" w:rsidRDefault="001E5F09" w:rsidP="00BC09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100,58</w:t>
            </w:r>
            <w:r w:rsidR="005E7403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</w:tr>
    </w:tbl>
    <w:p w14:paraId="5D71448F" w14:textId="77777777" w:rsidR="00935C00" w:rsidRPr="005B7626" w:rsidRDefault="00935C00" w:rsidP="005B7626"/>
    <w:p w14:paraId="5D5FFFFC" w14:textId="77777777" w:rsidR="00367D68" w:rsidRDefault="00B120AA" w:rsidP="003F7FD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>rema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5E2A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je u </w:t>
      </w:r>
      <w:r w:rsidR="00E222EA">
        <w:rPr>
          <w:rFonts w:asciiTheme="minorHAnsi" w:hAnsiTheme="minorHAnsi" w:cstheme="minorHAnsi"/>
          <w:sz w:val="22"/>
          <w:szCs w:val="22"/>
        </w:rPr>
        <w:t>I</w:t>
      </w:r>
      <w:r w:rsidR="00380209">
        <w:rPr>
          <w:rFonts w:asciiTheme="minorHAnsi" w:hAnsiTheme="minorHAnsi" w:cstheme="minorHAnsi"/>
          <w:sz w:val="22"/>
          <w:szCs w:val="22"/>
        </w:rPr>
        <w:t>I</w:t>
      </w:r>
      <w:r w:rsidR="00EE7C22">
        <w:rPr>
          <w:rFonts w:asciiTheme="minorHAnsi" w:hAnsiTheme="minorHAnsi" w:cstheme="minorHAnsi"/>
          <w:sz w:val="22"/>
          <w:szCs w:val="22"/>
        </w:rPr>
        <w:t>I</w:t>
      </w:r>
      <w:r w:rsidR="003F7FD5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kvartal</w:t>
      </w:r>
      <w:r w:rsidR="00095D5D" w:rsidRPr="003368F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202</w:t>
      </w:r>
      <w:r w:rsidR="00E222EA">
        <w:rPr>
          <w:rFonts w:asciiTheme="minorHAnsi" w:hAnsiTheme="minorHAnsi" w:cstheme="minorHAnsi"/>
          <w:sz w:val="22"/>
          <w:szCs w:val="22"/>
        </w:rPr>
        <w:t>2</w:t>
      </w:r>
      <w:r w:rsidR="00EF23D7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F23D7" w:rsidRPr="003368F9">
        <w:rPr>
          <w:rFonts w:asciiTheme="minorHAnsi" w:hAnsiTheme="minorHAnsi" w:cstheme="minorHAnsi"/>
          <w:sz w:val="22"/>
          <w:szCs w:val="22"/>
        </w:rPr>
        <w:t>b</w:t>
      </w:r>
      <w:r w:rsidR="007714D3">
        <w:rPr>
          <w:rFonts w:asciiTheme="minorHAnsi" w:hAnsiTheme="minorHAnsi" w:cstheme="minorHAnsi"/>
          <w:sz w:val="22"/>
          <w:szCs w:val="22"/>
        </w:rPr>
        <w:t>roj</w:t>
      </w:r>
      <w:proofErr w:type="spellEnd"/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714D3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manji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E0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7E3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D75701">
        <w:rPr>
          <w:rFonts w:asciiTheme="minorHAnsi" w:hAnsiTheme="minorHAnsi" w:cstheme="minorHAnsi"/>
          <w:sz w:val="22"/>
          <w:szCs w:val="22"/>
        </w:rPr>
        <w:t>9</w:t>
      </w:r>
      <w:r w:rsidR="00EE7C22">
        <w:rPr>
          <w:rFonts w:asciiTheme="minorHAnsi" w:hAnsiTheme="minorHAnsi" w:cstheme="minorHAnsi"/>
          <w:sz w:val="22"/>
          <w:szCs w:val="22"/>
        </w:rPr>
        <w:t>8,32</w:t>
      </w:r>
      <w:r w:rsidR="009E07E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EE7C22">
        <w:rPr>
          <w:rFonts w:asciiTheme="minorHAnsi" w:hAnsiTheme="minorHAnsi" w:cstheme="minorHAnsi"/>
          <w:sz w:val="22"/>
          <w:szCs w:val="22"/>
        </w:rPr>
        <w:t>99,99</w:t>
      </w:r>
      <w:r w:rsidR="00074460" w:rsidRPr="003368F9">
        <w:rPr>
          <w:rFonts w:asciiTheme="minorHAnsi" w:hAnsiTheme="minorHAnsi" w:cstheme="minorHAnsi"/>
          <w:sz w:val="22"/>
          <w:szCs w:val="22"/>
        </w:rPr>
        <w:t>%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>, u I</w:t>
      </w:r>
      <w:r w:rsidR="005E7403">
        <w:rPr>
          <w:rFonts w:asciiTheme="minorHAnsi" w:hAnsiTheme="minorHAnsi" w:cstheme="minorHAnsi"/>
          <w:sz w:val="22"/>
          <w:szCs w:val="22"/>
        </w:rPr>
        <w:t>I</w:t>
      </w:r>
      <w:r w:rsidR="00EE7C22">
        <w:rPr>
          <w:rFonts w:asciiTheme="minorHAnsi" w:hAnsiTheme="minorHAnsi" w:cstheme="minorHAnsi"/>
          <w:sz w:val="22"/>
          <w:szCs w:val="22"/>
        </w:rPr>
        <w:t>I</w:t>
      </w:r>
      <w:r w:rsidR="00525A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25AB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525AB4">
        <w:rPr>
          <w:rFonts w:asciiTheme="minorHAnsi" w:hAnsiTheme="minorHAnsi" w:cstheme="minorHAnsi"/>
          <w:sz w:val="22"/>
          <w:szCs w:val="22"/>
        </w:rPr>
        <w:t xml:space="preserve"> 2022</w:t>
      </w:r>
      <w:r w:rsidR="002013B8" w:rsidRPr="003368F9">
        <w:rPr>
          <w:rFonts w:asciiTheme="minorHAnsi" w:hAnsiTheme="minorHAnsi" w:cstheme="minorHAnsi"/>
          <w:sz w:val="22"/>
          <w:szCs w:val="22"/>
        </w:rPr>
        <w:t>.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</w:t>
      </w:r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EF23D7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074460" w:rsidRPr="003368F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s</w:t>
      </w:r>
      <w:r w:rsidR="00300070">
        <w:rPr>
          <w:rFonts w:asciiTheme="minorHAnsi" w:hAnsiTheme="minorHAnsi" w:cstheme="minorHAnsi"/>
          <w:sz w:val="22"/>
          <w:szCs w:val="22"/>
        </w:rPr>
        <w:t>topa</w:t>
      </w:r>
      <w:proofErr w:type="spellEnd"/>
      <w:r w:rsidR="003000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0070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3000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0070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300070">
        <w:rPr>
          <w:rFonts w:asciiTheme="minorHAnsi" w:hAnsiTheme="minorHAnsi" w:cstheme="minorHAnsi"/>
          <w:sz w:val="22"/>
          <w:szCs w:val="22"/>
        </w:rPr>
        <w:t xml:space="preserve"> 100,58</w:t>
      </w:r>
      <w:r w:rsidR="00074460" w:rsidRPr="003368F9">
        <w:rPr>
          <w:rFonts w:asciiTheme="minorHAnsi" w:hAnsiTheme="minorHAnsi" w:cstheme="minorHAnsi"/>
          <w:sz w:val="22"/>
          <w:szCs w:val="22"/>
        </w:rPr>
        <w:t>%)</w:t>
      </w:r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EC3ED0" w14:textId="77777777" w:rsidR="009E1FEE" w:rsidRPr="003368F9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28A5A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9" w:name="_Toc70332801"/>
      <w:bookmarkStart w:id="30" w:name="_Toc96602568"/>
      <w:r w:rsidRPr="00E900B4">
        <w:rPr>
          <w:rFonts w:asciiTheme="minorHAnsi" w:hAnsiTheme="minorHAnsi" w:cstheme="minorHAnsi"/>
          <w:sz w:val="22"/>
          <w:szCs w:val="22"/>
        </w:rPr>
        <w:lastRenderedPageBreak/>
        <w:t>VI. VRIJEME RJEŠAVANJA PREDMETA</w:t>
      </w:r>
      <w:bookmarkEnd w:id="29"/>
      <w:bookmarkEnd w:id="30"/>
    </w:p>
    <w:p w14:paraId="5DF281E6" w14:textId="77777777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3B6E4147" w14:textId="77777777" w:rsidR="0061581D" w:rsidRPr="00E900B4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>U I</w:t>
      </w:r>
      <w:r w:rsidR="00BC09FD">
        <w:rPr>
          <w:rFonts w:asciiTheme="minorHAnsi" w:hAnsiTheme="minorHAnsi" w:cstheme="minorHAnsi"/>
          <w:sz w:val="22"/>
          <w:szCs w:val="22"/>
        </w:rPr>
        <w:t>I</w:t>
      </w:r>
      <w:r w:rsidR="003D6DF1">
        <w:rPr>
          <w:rFonts w:asciiTheme="minorHAnsi" w:hAnsiTheme="minorHAnsi" w:cstheme="minorHAnsi"/>
          <w:sz w:val="22"/>
          <w:szCs w:val="22"/>
        </w:rPr>
        <w:t>I</w:t>
      </w:r>
      <w:r w:rsidR="00E33B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3B46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33B46">
        <w:rPr>
          <w:rFonts w:asciiTheme="minorHAnsi" w:hAnsiTheme="minorHAnsi" w:cstheme="minorHAnsi"/>
          <w:sz w:val="22"/>
          <w:szCs w:val="22"/>
        </w:rPr>
        <w:t xml:space="preserve"> 2022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</w:t>
      </w:r>
      <w:r w:rsidR="00AB4633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BB6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00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BB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00BB6">
        <w:rPr>
          <w:rFonts w:asciiTheme="minorHAnsi" w:hAnsiTheme="minorHAnsi" w:cstheme="minorHAnsi"/>
          <w:sz w:val="22"/>
          <w:szCs w:val="22"/>
        </w:rPr>
        <w:t xml:space="preserve"> je </w:t>
      </w:r>
      <w:r w:rsidR="003D6DF1">
        <w:rPr>
          <w:rFonts w:asciiTheme="minorHAnsi" w:hAnsiTheme="minorHAnsi" w:cstheme="minorHAnsi"/>
          <w:b/>
          <w:sz w:val="22"/>
          <w:szCs w:val="22"/>
        </w:rPr>
        <w:t>24</w:t>
      </w:r>
      <w:r w:rsidR="00800BB6">
        <w:rPr>
          <w:rFonts w:asciiTheme="minorHAnsi" w:hAnsiTheme="minorHAnsi" w:cstheme="minorHAnsi"/>
          <w:sz w:val="22"/>
          <w:szCs w:val="22"/>
        </w:rPr>
        <w:t xml:space="preserve"> </w:t>
      </w:r>
      <w:r w:rsidR="007F4C3C" w:rsidRPr="00B2219D">
        <w:rPr>
          <w:rFonts w:asciiTheme="minorHAnsi" w:hAnsiTheme="minorHAnsi" w:cstheme="minorHAnsi"/>
          <w:b/>
          <w:sz w:val="22"/>
          <w:szCs w:val="22"/>
        </w:rPr>
        <w:t>dana</w:t>
      </w:r>
      <w:r w:rsidR="007F4C3C" w:rsidRPr="00B2219D">
        <w:rPr>
          <w:rFonts w:asciiTheme="minorHAnsi" w:hAnsiTheme="minorHAnsi" w:cstheme="minorHAnsi"/>
          <w:sz w:val="22"/>
          <w:szCs w:val="22"/>
        </w:rPr>
        <w:t xml:space="preserve">. </w:t>
      </w:r>
      <w:r w:rsidR="007F4C3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0FCB09C7" w14:textId="77777777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42C79E" w14:textId="77777777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1" w:name="_Toc70332767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BC09FD">
        <w:rPr>
          <w:rFonts w:asciiTheme="minorHAnsi" w:hAnsiTheme="minorHAnsi" w:cstheme="minorHAnsi"/>
          <w:b w:val="0"/>
          <w:sz w:val="22"/>
          <w:szCs w:val="22"/>
        </w:rPr>
        <w:t>I</w:t>
      </w:r>
      <w:r w:rsidR="00423E8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E33B4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E33B46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E33B46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1"/>
    </w:p>
    <w:p w14:paraId="4BF0FEAB" w14:textId="77777777" w:rsidR="00986E12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1960"/>
        <w:gridCol w:w="1540"/>
        <w:gridCol w:w="1540"/>
        <w:gridCol w:w="1540"/>
        <w:gridCol w:w="1540"/>
        <w:gridCol w:w="1540"/>
      </w:tblGrid>
      <w:tr w:rsidR="006E6121" w:rsidRPr="006E6121" w14:paraId="35A65D7F" w14:textId="77777777" w:rsidTr="006E6121">
        <w:trPr>
          <w:trHeight w:val="645"/>
          <w:tblHeader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766D324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SUD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3EBEF0EF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ZK odjel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3E2DC72F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Ukupno riješeno redovnih predmeta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D3F1F0D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Prosječno mjesečno riješeno redovnih predmeta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99732C6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Neriješ</w:t>
            </w:r>
            <w:r w:rsidR="00FA6D2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eni</w:t>
            </w:r>
            <w:r w:rsidR="001E5F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 xml:space="preserve"> redovni predmeti na dan 30.9</w:t>
            </w: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.2022.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3883DC47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5"/>
                <w:szCs w:val="15"/>
                <w:lang w:val="hr-HR"/>
              </w:rPr>
              <w:t>Prosječno vrijeme rješavanja redovnih predmeta</w:t>
            </w:r>
          </w:p>
        </w:tc>
      </w:tr>
      <w:tr w:rsidR="004760AE" w:rsidRPr="006E6121" w14:paraId="1CB56497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9279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14C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F1AEA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8702E" w14:textId="77777777" w:rsidR="004760AE" w:rsidRPr="001E5F09" w:rsidRDefault="004760AE" w:rsidP="004760A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568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B647824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1D857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73221BB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0A64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FA0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D4DA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57A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8E7A20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F796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11519C9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F3D5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DDA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0DA1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B3AF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162A9D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A844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760AE" w:rsidRPr="006E6121" w14:paraId="0F9022C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3B6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626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087F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C6765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3A759B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AB5D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1731AA9C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2DBF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C0D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E972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8881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85A59B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0762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760AE" w:rsidRPr="006E6121" w14:paraId="762E674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E07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EFA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FD39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65653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52A86A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C2F4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60AE" w:rsidRPr="006E6121" w14:paraId="6B07683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AFE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35629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136EA7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8E0E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1.671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2998EC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670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C71D2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760AE" w:rsidRPr="006E6121" w14:paraId="043528B8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1704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A7A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Crikvenica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BA7A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B752E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319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21B327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ACC8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60AE" w:rsidRPr="006E6121" w14:paraId="2643211C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CDE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B23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Krk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F99E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71FC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603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A91B19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65D3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60AE" w:rsidRPr="006E6121" w14:paraId="44F7D406" w14:textId="77777777" w:rsidTr="00FC48B1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9FAFF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01F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Novi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Vinodolski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A7DC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0A9D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1EF70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F17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760AE" w:rsidRPr="006E6121" w14:paraId="6145F7D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DCA0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BBB2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Rab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73D3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3C7AA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9DF7B1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1A28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60AE" w:rsidRPr="006E6121" w14:paraId="05D4040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15C7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93B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Senj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0430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0BF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B3396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E1E7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60AE" w:rsidRPr="006E6121" w14:paraId="47FB590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BC5A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CB7A1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173141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C931E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1.328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8B3F1B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3.094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00DBC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4760AE" w:rsidRPr="006E6121" w14:paraId="2F28AB6D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1F68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B9A6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D93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C9407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845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177BF3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F5F5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211CC2B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537E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B74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D51B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F6C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5B2E1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327D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635C972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5DAB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8567B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E8B644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A51FEE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1.056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C69D0A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836F9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1116F23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557B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573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23C8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94642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DC940C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79E7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60AE" w:rsidRPr="006E6121" w14:paraId="6A05DCF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7818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single" w:sz="8" w:space="0" w:color="4472C4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CA98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A7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82E37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683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2F1D5E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834F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60AE" w:rsidRPr="006E6121" w14:paraId="075AE83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269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single" w:sz="8" w:space="0" w:color="4472C4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B10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DF26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8B24F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A2D46A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D741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60AE" w:rsidRPr="006E6121" w14:paraId="1E39205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ACA9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89CE9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C6DC8E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0816DE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620FF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1.622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0BAEA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4760AE" w:rsidRPr="006E6121" w14:paraId="03C27EFC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000E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DC70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8CB8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5DE0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F738B6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7FF1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472A79F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E4AA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095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92CB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421A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01AA7C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26C8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0FECB7C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4F8E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D946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D30F22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F84B6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7206F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81E2F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6EAAB4D2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3BC5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B78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Donji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Lapac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F84E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A3BE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CD7F5C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D121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60AE" w:rsidRPr="006E6121" w14:paraId="31A7787C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7C14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2E6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Gospić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38B7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B4075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504A09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2BE9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4760AE" w:rsidRPr="006E6121" w14:paraId="3B93EA0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5F2CF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A6C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Gračac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BB16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1CB27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5FB985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0478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</w:tr>
      <w:tr w:rsidR="004760AE" w:rsidRPr="006E6121" w14:paraId="437F888D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67B3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CBC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Korenica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1158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362EF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ED75FF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8505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60AE" w:rsidRPr="006E6121" w14:paraId="026948E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66CC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DDA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Otočac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CEA3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2654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FB3FCB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364A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60AE" w:rsidRPr="006E6121" w14:paraId="26DF4F1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E0DB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801433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7C204B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EFC77E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C51C7E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2.761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E2E104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</w:t>
            </w:r>
          </w:p>
        </w:tc>
      </w:tr>
      <w:tr w:rsidR="004760AE" w:rsidRPr="006E6121" w14:paraId="0AFA6844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E9EA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979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Karlovac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65C2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B4DFF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823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8DBD7B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FB4D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60AE" w:rsidRPr="006E6121" w14:paraId="396BAA0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EB45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844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Ogulin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4C91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2AEC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146D53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E742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760AE" w:rsidRPr="006E6121" w14:paraId="28A8CD5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7AE6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A50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Ozalj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9978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78A7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A8797F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E13C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60AE" w:rsidRPr="006E6121" w14:paraId="7DEFE71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9A68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0D1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Slunj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0FE0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D2D4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21DD5A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521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5239858C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655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FB3F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879BB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2A63E" w14:textId="77777777" w:rsidR="004760AE" w:rsidRPr="001E5F09" w:rsidRDefault="004760AE" w:rsidP="004760A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1E071EA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EC3B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4760AE" w:rsidRPr="006E6121" w14:paraId="2A35993C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3E3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00B6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F28FAA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E4267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1.390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C6347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1.981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D8C62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760AE" w:rsidRPr="006E6121" w14:paraId="3710E21F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63F1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B09E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348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5B43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1E4FDF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FEAD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7CA8BBC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F8998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46E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254E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AF22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48B9D8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7B07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760AE" w:rsidRPr="006E6121" w14:paraId="5C8C7696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9EF7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A42DB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7A0FE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C1161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85B6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572DF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5CB8AFF5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485D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AD288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B6E7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BAE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315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1A2EF9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D03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577DE21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320D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FEC5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9DD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926B5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C6ED34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C4FC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760AE" w:rsidRPr="006E6121" w14:paraId="3CB1F6E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80B0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AC415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52B39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C088A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47AF5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1D4377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750BC86A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0C56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50D18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420F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290DC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C2C009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EA0C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4760AE" w:rsidRPr="006E6121" w14:paraId="4F63053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729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CA38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982D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DA9C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3A632A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2B6F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60AE" w:rsidRPr="006E6121" w14:paraId="30AD72E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AF74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7C32E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9D442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10C9FC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21928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1.914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FE1D0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4760AE" w:rsidRPr="006E6121" w14:paraId="18A52C3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145E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D0FF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9A0C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321C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3C1360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1E2C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4AE87C2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A1A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C9C2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F29C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BE8A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F488A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B445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7150C98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F4B1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1FAAC9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7B22B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AAEA9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F6B44A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6F6A6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3736937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319B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ED5C2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Jastrebarsko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B542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78255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BFFB28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088A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760AE" w:rsidRPr="006E6121" w14:paraId="1FE947D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4AD5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B1D1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Novi Zagreb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84C4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2435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1.247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A0E1F6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747C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09F8DF1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656A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62F8F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Samobor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B6F5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A65B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748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30C2D6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62A1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3A849E89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34B1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38DF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Zaprešić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A17E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46E62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81B818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5601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60AE" w:rsidRPr="006E6121" w14:paraId="4D7E407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2C67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45764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D7B64C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8.650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794B0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2.883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4098C5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566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1AB1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760AE" w:rsidRPr="006E6121" w14:paraId="0333A908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FEC5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D5F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Beli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Manastir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904B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71C8D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391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24F23E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1A7E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3F559F1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8566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58C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Donji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Miholjac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509E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AC82D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1DE429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D3EF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4D90253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4030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F1B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Osijek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FE7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651E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1.104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0EFDEF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93C0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023C889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0AA6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E7E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Valpovo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C17C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945B3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723A90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34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128A143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0489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FCC25D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9328B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D4C04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1.839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1766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109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891F7E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483D7707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7976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7FA7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Buje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B171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0A22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CD93D7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81E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60AE" w:rsidRPr="006E6121" w14:paraId="36568F9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C333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59F7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Buzet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48EC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702C5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B72378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9087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60AE" w:rsidRPr="006E6121" w14:paraId="2089939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EEC2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16F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Labin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AEAA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9C17E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AC0E60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5599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760AE" w:rsidRPr="006E6121" w14:paraId="2E609AA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F32F6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2E8EC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Pazin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E929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B1B4D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263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E132E6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78ED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60AE" w:rsidRPr="006E6121" w14:paraId="778137D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3DB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0D7B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Poreč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1541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3B57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575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994AE2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A02F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60AE" w:rsidRPr="006E6121" w14:paraId="63E931D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8191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71CB5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15430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5.969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B9B711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1.990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B0D852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4.351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67B72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4760AE" w:rsidRPr="006E6121" w14:paraId="4DCF0625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28E7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DBF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584F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ADE74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495097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907D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60AE" w:rsidRPr="006E6121" w14:paraId="634A1B4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8C0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A72F6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D13904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84F856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37E9B0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0CD4B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4760AE" w:rsidRPr="006E6121" w14:paraId="29A97EA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F4C6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PULA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C1251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784B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B51C7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1.681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29CE4F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9590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1C684949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D3C2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F8A3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74A9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B11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BF698C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05F63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2C9D4F6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33C8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5F7DB0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65905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5F5DC8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2.080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9D8504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44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04CF9C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63CE74F4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8041" w14:textId="77777777" w:rsidR="004760AE" w:rsidRPr="00A22ED3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F7AF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Čabar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1C5A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83950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8FB7AF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94BD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60AE" w:rsidRPr="006E6121" w14:paraId="4104A15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9A15E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35C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Delnice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B76E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D261A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F7B977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EE99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60AE" w:rsidRPr="006E6121" w14:paraId="0FFD49F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DA19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707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Mali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Lošinj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0E8D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23962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58028F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F4BD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60AE" w:rsidRPr="006E6121" w14:paraId="36B41BC9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BD1C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0CCA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Opatija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6914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F3C5B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C5B75C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1013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43E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60AE" w:rsidRPr="006E6121" w14:paraId="3170664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AB534" w14:textId="77777777" w:rsidR="004760AE" w:rsidRPr="00A22ED3" w:rsidRDefault="004760AE" w:rsidP="004760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54CB" w14:textId="77777777" w:rsidR="004760AE" w:rsidRPr="00A22ED3" w:rsidRDefault="004760AE" w:rsidP="004760A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FE5D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10069" w14:textId="77777777" w:rsidR="004760AE" w:rsidRPr="001E5F09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E5F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2.458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229826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77F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64540" w:rsidRPr="006E6121" w14:paraId="39399896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449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9220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6A8B8" w14:textId="77777777" w:rsidR="00C64540" w:rsidRDefault="00C64540" w:rsidP="00C64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3858A" w14:textId="77777777" w:rsidR="00C64540" w:rsidRPr="00FC48B1" w:rsidRDefault="00C64540" w:rsidP="00C6454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FA6F225" w14:textId="77777777" w:rsidR="00C64540" w:rsidRDefault="00C64540" w:rsidP="00C64540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46EC0" w14:textId="77777777" w:rsidR="00C64540" w:rsidRDefault="00C64540" w:rsidP="00C64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C64540" w:rsidRPr="006E6121" w14:paraId="0C66E817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F8E5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250710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8CA7BC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10.749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0BB69B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3.583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6933F2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4.677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FAAA5F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C64540" w:rsidRPr="006E6121" w14:paraId="44FF8CA4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6B35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7BA94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Dugo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Selo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D8FF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7D1AA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284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A833AA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EE97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64540" w:rsidRPr="006E6121" w14:paraId="18117DC6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34693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7247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Sesvete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E790B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65AFB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B4D5407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D92B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64540" w:rsidRPr="006E6121" w14:paraId="3E57A35D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2D6DD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D67E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0"/>
                <w:szCs w:val="20"/>
              </w:rPr>
              <w:t>Sveti</w:t>
            </w:r>
            <w:proofErr w:type="spellEnd"/>
            <w:r w:rsidRPr="00A22ED3">
              <w:rPr>
                <w:rFonts w:ascii="Calibri" w:eastAsia="Times New Roman" w:hAnsi="Calibri" w:cs="Calibri"/>
                <w:sz w:val="20"/>
                <w:szCs w:val="20"/>
              </w:rPr>
              <w:t xml:space="preserve"> Ivan </w:t>
            </w:r>
            <w:proofErr w:type="spellStart"/>
            <w:r w:rsidRPr="00A22ED3">
              <w:rPr>
                <w:rFonts w:ascii="Calibri" w:eastAsia="Times New Roman" w:hAnsi="Calibri" w:cs="Calibri"/>
                <w:sz w:val="20"/>
                <w:szCs w:val="20"/>
              </w:rPr>
              <w:t>Zelina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6838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FBCA3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ED48BD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65E2B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64540" w:rsidRPr="006E6121" w14:paraId="328C38A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2F77C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1B93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Vrbovec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B3D6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B05FC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0818E75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2E65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64540" w:rsidRPr="006E6121" w14:paraId="2636A429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73C3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7DA4A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228DFB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ADC4ED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1.153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68A3C6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1.412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5F9728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C64540" w:rsidRPr="006E6121" w14:paraId="306BCFE7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8F70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8DA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Dvor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A5B4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D306E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A3799E5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7A6EF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C64540" w:rsidRPr="006E6121" w14:paraId="3238932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A9C9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47D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Glina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789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D0EC0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02BD548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21CD3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C64540" w:rsidRPr="006E6121" w14:paraId="253384A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3455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2D0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Gvozd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8833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EF555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BF66643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14D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C64540" w:rsidRPr="006E6121" w14:paraId="39F7D99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4EC1C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C829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Hrv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. Kostajnica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5AC8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A203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E5F1C1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7CE3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64540" w:rsidRPr="006E6121" w14:paraId="6C2E84B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380D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DC80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Petrinja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1E20F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1ED6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26DB2D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387D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64540" w:rsidRPr="006E6121" w14:paraId="75CAAA9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54873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94F01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Sisak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8A1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58A91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693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AF18EBB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285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D5C4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C64540" w:rsidRPr="006E6121" w14:paraId="674CCCF6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E908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AB39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C8F5D6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8BD2E1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25EE29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645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2E6E5D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64540" w:rsidRPr="006E6121" w14:paraId="234481D8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D7C8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C209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BDD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BE001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1FD617B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5A5D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64540" w:rsidRPr="006E6121" w14:paraId="0356961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61011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126D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6A68D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06FF3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910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E739983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5276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64540" w:rsidRPr="006E6121" w14:paraId="52ABD762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8656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E77FC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1DE130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54DDDB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1.317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CFF838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104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25822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4540" w:rsidRPr="006E6121" w14:paraId="0870F6B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ABEF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C7C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Kaštel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Lukšić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F73A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50E16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318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88A26D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1504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64540" w:rsidRPr="006E6121" w14:paraId="4EB81EB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160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2B26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Omiš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014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31500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AB985C7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E08E5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64540" w:rsidRPr="006E6121" w14:paraId="2676951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F576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ED1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Sinj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CBA63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74DCB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18038D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07C2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64540" w:rsidRPr="006E6121" w14:paraId="6289761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906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35E6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Solin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6C4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55020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257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37FB9B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5408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64540" w:rsidRPr="006E6121" w14:paraId="57861EE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39A7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49E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Split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13DD7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E39AD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1.281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6749C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4119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676B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64540" w:rsidRPr="006E6121" w14:paraId="541AAEE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B7EF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CDA3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Stari</w:t>
            </w:r>
            <w:proofErr w:type="spellEnd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 Grad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4A74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13591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3D0C42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18A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64540" w:rsidRPr="006E6121" w14:paraId="24F0483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3D824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8DD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Supetar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9EDE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8FE74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BC676D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2451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8FF1F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C64540" w:rsidRPr="006E6121" w14:paraId="7153D16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2F4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0FA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Trogir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BAD5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4D2BE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3B5A675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F8B68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64540" w:rsidRPr="006E6121" w14:paraId="7FAD01D7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50DD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41F95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07EDA1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10.457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33FDBF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3.486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9A746F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11.682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719D50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C64540" w:rsidRPr="006E6121" w14:paraId="39DA1581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9802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44CA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Drniš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DED7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08F56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B1796AD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C7324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64540" w:rsidRPr="006E6121" w14:paraId="7C83863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7BF24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CBAA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Knin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11B7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68D2D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AA2C9F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BFC86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64540" w:rsidRPr="006E6121" w14:paraId="01622B2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07DD0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7764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Šibenik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C279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6E9A0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1.054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15D73F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1985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5D61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64540" w:rsidRPr="006E6121" w14:paraId="7C02D4A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92D7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13A1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Tisno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8DE7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A7A35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38EFEF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676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64540" w:rsidRPr="006E6121" w14:paraId="7FF33817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59B8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4D851B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F83393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DF7547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1.496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A30DB1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2.904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512487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C64540" w:rsidRPr="006E6121" w14:paraId="497E288D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BDAC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37F1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Ivanec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E4D5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56F68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8BFD32F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562D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C64540" w:rsidRPr="006E6121" w14:paraId="5BB01D2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7D8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180E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Ludbreg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A886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1BE8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1C27D9B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9737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C64540" w:rsidRPr="006E6121" w14:paraId="4A50BD6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81D1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F32F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 xml:space="preserve">Novi </w:t>
            </w: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Marof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13E20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90241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6884D09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0872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C64540" w:rsidRPr="006E6121" w14:paraId="22EBAE0D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EF6E8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D7A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Varaždin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721EA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CF377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689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5A4CD9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A80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64540" w:rsidRPr="006E6121" w14:paraId="2067DABF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0EC75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AFC2622" w14:textId="77777777" w:rsidR="00C64540" w:rsidRPr="00A22ED3" w:rsidRDefault="00C64540" w:rsidP="00C6454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FDA32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725C9A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572869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617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B5FAEB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64540" w:rsidRPr="006E6121" w14:paraId="0D34FA4F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8EE7" w14:textId="77777777" w:rsidR="00C64540" w:rsidRPr="00A22ED3" w:rsidRDefault="00C64540" w:rsidP="00C645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12A0" w14:textId="77777777" w:rsidR="00C64540" w:rsidRPr="00A22ED3" w:rsidRDefault="00C64540" w:rsidP="00C6454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2ED3">
              <w:rPr>
                <w:rFonts w:ascii="Calibri" w:eastAsia="Times New Roman" w:hAnsi="Calibri" w:cs="Calibri"/>
                <w:sz w:val="22"/>
                <w:szCs w:val="22"/>
              </w:rPr>
              <w:t>Ivanić Grad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974BD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07717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7F56DB8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F06C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64540" w:rsidRPr="006E6121" w14:paraId="77A30A6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36AB6" w14:textId="77777777" w:rsidR="00C64540" w:rsidRPr="006E6121" w:rsidRDefault="00C64540" w:rsidP="00C6454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A2EF" w14:textId="77777777" w:rsidR="00C64540" w:rsidRPr="006E6121" w:rsidRDefault="00C64540" w:rsidP="00C6454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Velika</w:t>
            </w:r>
            <w:proofErr w:type="spellEnd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463FE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CF7D0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477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69BE02C" w14:textId="77777777" w:rsidR="00C64540" w:rsidRDefault="00C64540" w:rsidP="00C64540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3CA41" w14:textId="77777777" w:rsidR="00C64540" w:rsidRDefault="00C64540" w:rsidP="00C64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64540" w:rsidRPr="006E6121" w14:paraId="75668DE5" w14:textId="77777777" w:rsidTr="00991DF0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24B96" w14:textId="77777777" w:rsidR="00C64540" w:rsidRPr="006E6121" w:rsidRDefault="00C64540" w:rsidP="00C6454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2AA883E" w14:textId="77777777" w:rsidR="00C64540" w:rsidRPr="006E6121" w:rsidRDefault="00C64540" w:rsidP="00C6454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3988B0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3DC3CC" w14:textId="77777777" w:rsidR="00C64540" w:rsidRPr="00FC48B1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8D2654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613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04275A" w14:textId="77777777" w:rsidR="00C64540" w:rsidRDefault="00C64540" w:rsidP="00C645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4760AE" w:rsidRPr="006E6121" w14:paraId="02F3A33C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8119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>VINKOVCI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A67A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E5CAF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831" w14:textId="77777777" w:rsidR="004760AE" w:rsidRPr="00FC48B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3FC567E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333333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EFFAF" w14:textId="77777777" w:rsidR="004760AE" w:rsidRDefault="004760AE" w:rsidP="004760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760AE" w:rsidRPr="006E6121" w14:paraId="62C0440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9F349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72417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07EC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FB25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881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12EA16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2695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60AE" w:rsidRPr="006E6121" w14:paraId="4AFA0EA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E0847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02F76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9870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DE41F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65452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362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357B9F5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FE564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E0224A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905F8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AE88ED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C7CABC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1.243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B95195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4760AE" w:rsidRPr="006E6121" w14:paraId="1773994B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A643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4F41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Orahovica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B2E3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86692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A53B52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A336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14E8F182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C8AAB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9357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Pitomača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16CE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C0D99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A32701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DD1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2BE01A21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5D195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144C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Slatina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5994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60167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300804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5A53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5C2EBDD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73416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1080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Virovitica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D68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A5662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740B6C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E86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760AE" w:rsidRPr="006E6121" w14:paraId="013F3D7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6DBDF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B9DB4E8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31F948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350032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554B1D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19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2F8647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60AE" w:rsidRPr="006E6121" w14:paraId="75FED25F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D8D1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BAEC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Ilok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EAB7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45210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F0D103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511F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760AE" w:rsidRPr="006E6121" w14:paraId="05D0DD35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75B4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6982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Vukovar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D8860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5B74B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344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BE5B21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D909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760AE" w:rsidRPr="006E6121" w14:paraId="09BD9404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2E065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72747A1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F3A32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C73429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28E1A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59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66D9C7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07C37BD2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266F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4703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Benkovac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8445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36A71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86755E8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76B7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60AE" w:rsidRPr="006E6121" w14:paraId="58495EA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DFDB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DA15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Biograd</w:t>
            </w:r>
            <w:proofErr w:type="spellEnd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n/m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C257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AEF5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298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712CD96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5D28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760AE" w:rsidRPr="006E6121" w14:paraId="68E78EE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1012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4441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Obrovac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8308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B813E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159F03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0DC1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60AE" w:rsidRPr="006E6121" w14:paraId="614D9E6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32BFC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2F1F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BAA8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9D709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B3B2D8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1898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DF219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4760AE" w:rsidRPr="006E6121" w14:paraId="2196D498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5A17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21C9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0F88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45F0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2.039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B13E6AB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5303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60AE" w:rsidRPr="006E6121" w14:paraId="0ED05F9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68A4F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D4D04B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478DA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135482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2.844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9DC236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4.352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307A4A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4760AE" w:rsidRPr="006E6121" w14:paraId="348435CF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3316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C508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EAF6D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CDB9E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4.984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641E8F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4871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3C1F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60AE" w:rsidRPr="006E6121" w14:paraId="6174B97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11865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1BE7F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55E5E1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14.953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0B71D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4.984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5DAD39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4.871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B4DCF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4760AE" w:rsidRPr="006E6121" w14:paraId="65356399" w14:textId="77777777" w:rsidTr="00FC48B1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FE12" w14:textId="77777777" w:rsidR="004760AE" w:rsidRPr="006E6121" w:rsidRDefault="004760AE" w:rsidP="00476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CB56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711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D7650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300AC6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40235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760AE" w:rsidRPr="006E6121" w14:paraId="7F078FBF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D533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DF98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Klanjec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B8A6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A915A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166F90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D028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760AE" w:rsidRPr="006E6121" w14:paraId="11C0AE8E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2845A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552D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Krapina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C691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7F3EB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3D53511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1BDF2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760AE" w:rsidRPr="006E6121" w14:paraId="60CEDC13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5358F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7CBB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Pregrada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B3D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7D15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DF146E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9CF34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760AE" w:rsidRPr="006E6121" w14:paraId="782899A7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DAB1A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FB5C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Zabok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CB61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56A3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262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D29397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4E2AC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60AE" w:rsidRPr="006E6121" w14:paraId="756116A0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B8C36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C6DE" w14:textId="77777777" w:rsidR="004760AE" w:rsidRPr="006E6121" w:rsidRDefault="004760AE" w:rsidP="004760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6E61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FDE8E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9D85B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3BE150A" w14:textId="77777777" w:rsidR="004760AE" w:rsidRDefault="004760AE" w:rsidP="004760AE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A15BF" w14:textId="77777777" w:rsidR="004760AE" w:rsidRDefault="004760AE" w:rsidP="00476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760AE" w:rsidRPr="006E6121" w14:paraId="56DB53AB" w14:textId="77777777" w:rsidTr="00FC48B1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FAF4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11BD0" w14:textId="77777777" w:rsidR="004760AE" w:rsidRPr="006E6121" w:rsidRDefault="004760AE" w:rsidP="004760A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14C4BE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CC801E" w14:textId="77777777" w:rsidR="004760AE" w:rsidRPr="00FC48B1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C48B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BE998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676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1D5F3C" w14:textId="77777777" w:rsidR="004760AE" w:rsidRDefault="004760AE" w:rsidP="00476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6E6121" w:rsidRPr="006E6121" w14:paraId="250883CD" w14:textId="77777777" w:rsidTr="006E6121">
        <w:trPr>
          <w:trHeight w:val="315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4472C4"/>
              <w:bottom w:val="single" w:sz="8" w:space="0" w:color="4472C4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7259CEA" w14:textId="77777777" w:rsidR="006E6121" w:rsidRPr="006E6121" w:rsidRDefault="006E6121" w:rsidP="006E61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6E612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39019606" w14:textId="77777777" w:rsidR="006E6121" w:rsidRPr="006E6121" w:rsidRDefault="00FC48B1" w:rsidP="00765AD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134.956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0CE535EE" w14:textId="77777777" w:rsidR="006E6121" w:rsidRPr="006E6121" w:rsidRDefault="004760AE" w:rsidP="006E61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44.985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052A574" w14:textId="77777777" w:rsidR="006E6121" w:rsidRPr="006E6121" w:rsidRDefault="00FC48B1" w:rsidP="006E61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51.901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0DA2439D" w14:textId="77777777" w:rsidR="006E6121" w:rsidRPr="006E6121" w:rsidRDefault="004760AE" w:rsidP="00765AD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           24</w:t>
            </w:r>
          </w:p>
        </w:tc>
      </w:tr>
    </w:tbl>
    <w:p w14:paraId="52B517ED" w14:textId="77777777" w:rsidR="009E1FEE" w:rsidRPr="00431B5F" w:rsidRDefault="000A7E34" w:rsidP="00986E1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bookmarkEnd w:id="20"/>
    <w:bookmarkEnd w:id="21"/>
    <w:p w14:paraId="0863D1BE" w14:textId="77777777" w:rsidR="00CF6809" w:rsidRPr="00431B5F" w:rsidRDefault="009505E3" w:rsidP="00712D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1B5F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a</w:t>
      </w:r>
      <w:r w:rsidR="00666453">
        <w:rPr>
          <w:rFonts w:asciiTheme="minorHAnsi" w:hAnsiTheme="minorHAnsi" w:cstheme="minorHAnsi"/>
          <w:sz w:val="22"/>
          <w:szCs w:val="22"/>
        </w:rPr>
        <w:t>nalizom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je</w:t>
      </w:r>
      <w:r w:rsidRPr="00431B5F">
        <w:rPr>
          <w:rFonts w:asciiTheme="minorHAnsi" w:hAnsiTheme="minorHAnsi" w:cstheme="minorHAnsi"/>
          <w:sz w:val="22"/>
          <w:szCs w:val="22"/>
        </w:rPr>
        <w:t xml:space="preserve"> u </w:t>
      </w:r>
      <w:r w:rsidR="00431B5F" w:rsidRPr="00431B5F">
        <w:rPr>
          <w:rFonts w:asciiTheme="minorHAnsi" w:hAnsiTheme="minorHAnsi" w:cstheme="minorHAnsi"/>
          <w:sz w:val="22"/>
          <w:szCs w:val="22"/>
        </w:rPr>
        <w:t>I</w:t>
      </w:r>
      <w:r w:rsidR="00666453">
        <w:rPr>
          <w:rFonts w:asciiTheme="minorHAnsi" w:hAnsiTheme="minorHAnsi" w:cstheme="minorHAnsi"/>
          <w:sz w:val="22"/>
          <w:szCs w:val="22"/>
        </w:rPr>
        <w:t>I</w:t>
      </w:r>
      <w:r w:rsidRPr="00431B5F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42C7E" w:rsidRPr="00431B5F">
        <w:rPr>
          <w:rFonts w:asciiTheme="minorHAnsi" w:hAnsiTheme="minorHAnsi" w:cstheme="minorHAnsi"/>
          <w:sz w:val="22"/>
          <w:szCs w:val="22"/>
        </w:rPr>
        <w:t xml:space="preserve"> 2022</w:t>
      </w:r>
      <w:r w:rsidR="006E3185" w:rsidRPr="00431B5F">
        <w:rPr>
          <w:rFonts w:asciiTheme="minorHAnsi" w:hAnsiTheme="minorHAnsi" w:cstheme="minorHAnsi"/>
          <w:sz w:val="22"/>
          <w:szCs w:val="22"/>
        </w:rPr>
        <w:t>.</w:t>
      </w:r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6</w:t>
      </w:r>
      <w:r w:rsidR="00174F29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4D0" w:rsidRPr="00431B5F">
        <w:rPr>
          <w:rFonts w:asciiTheme="minorHAnsi" w:hAnsiTheme="minorHAnsi" w:cstheme="minorHAnsi"/>
          <w:sz w:val="22"/>
          <w:szCs w:val="22"/>
        </w:rPr>
        <w:t>zemljišnoknjižn</w:t>
      </w:r>
      <w:r w:rsidR="00666453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D42450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odjel</w:t>
      </w:r>
      <w:r w:rsidR="00174F29" w:rsidRPr="00431B5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je za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399A" w:rsidRPr="00431B5F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3D399A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399A" w:rsidRPr="00431B5F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3D399A" w:rsidRPr="00431B5F">
        <w:rPr>
          <w:rFonts w:asciiTheme="minorHAnsi" w:hAnsiTheme="minorHAnsi" w:cstheme="minorHAnsi"/>
          <w:sz w:val="22"/>
          <w:szCs w:val="22"/>
        </w:rPr>
        <w:t xml:space="preserve"> od 90 dana, </w:t>
      </w:r>
      <w:proofErr w:type="spellStart"/>
      <w:r w:rsidR="003D399A" w:rsidRPr="00431B5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3D399A" w:rsidRPr="00431B5F">
        <w:rPr>
          <w:rFonts w:asciiTheme="minorHAnsi" w:hAnsiTheme="minorHAnsi" w:cstheme="minorHAnsi"/>
          <w:sz w:val="22"/>
          <w:szCs w:val="22"/>
        </w:rPr>
        <w:t xml:space="preserve"> </w:t>
      </w:r>
      <w:r w:rsidR="00431B5F" w:rsidRPr="00431B5F">
        <w:rPr>
          <w:rFonts w:asciiTheme="minorHAnsi" w:hAnsiTheme="minorHAnsi" w:cstheme="minorHAnsi"/>
          <w:sz w:val="22"/>
          <w:szCs w:val="22"/>
        </w:rPr>
        <w:t>43</w:t>
      </w:r>
      <w:r w:rsidR="00046297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1B5F">
        <w:rPr>
          <w:rFonts w:asciiTheme="minorHAnsi" w:hAnsiTheme="minorHAnsi" w:cstheme="minorHAnsi"/>
          <w:sz w:val="22"/>
          <w:szCs w:val="22"/>
        </w:rPr>
        <w:t>zemljišnoknjižna</w:t>
      </w:r>
      <w:proofErr w:type="spellEnd"/>
      <w:r w:rsidR="00A874D0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4D0" w:rsidRPr="00431B5F">
        <w:rPr>
          <w:rFonts w:asciiTheme="minorHAnsi" w:hAnsiTheme="minorHAnsi" w:cstheme="minorHAnsi"/>
          <w:sz w:val="22"/>
          <w:szCs w:val="22"/>
        </w:rPr>
        <w:t>odjel</w:t>
      </w:r>
      <w:r w:rsidR="00D42450" w:rsidRPr="00431B5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42450"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450" w:rsidRPr="00431B5F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je za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1B5F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Pr="00431B5F">
        <w:rPr>
          <w:rFonts w:asciiTheme="minorHAnsi" w:hAnsiTheme="minorHAnsi" w:cstheme="minorHAnsi"/>
          <w:sz w:val="22"/>
          <w:szCs w:val="22"/>
        </w:rPr>
        <w:t xml:space="preserve"> od 10 dana. </w:t>
      </w:r>
    </w:p>
    <w:p w14:paraId="7872160D" w14:textId="77777777" w:rsidR="009505E3" w:rsidRPr="00E900B4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4BC4DB1F" w14:textId="77777777" w:rsidR="006E6121" w:rsidRDefault="006E6121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2" w:name="_Toc70332768"/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170B67" w14:textId="77777777" w:rsidR="009505E3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5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prema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prosječnom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vremenu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bookmarkEnd w:id="32"/>
      <w:proofErr w:type="spellEnd"/>
    </w:p>
    <w:p w14:paraId="411D51C6" w14:textId="77777777" w:rsidR="000A0671" w:rsidRPr="000A0671" w:rsidRDefault="000A0671" w:rsidP="000A0671"/>
    <w:p w14:paraId="1CD6ED3A" w14:textId="77777777" w:rsidR="00187CEB" w:rsidRPr="00187CEB" w:rsidRDefault="00187CEB" w:rsidP="00187CEB"/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E900B4" w:rsidRPr="00E900B4" w14:paraId="3459B285" w14:textId="77777777" w:rsidTr="00187CEB">
        <w:trPr>
          <w:trHeight w:val="7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C578ACE" w14:textId="77777777" w:rsidR="009505E3" w:rsidRPr="00DA0C0B" w:rsidRDefault="009505E3" w:rsidP="004A6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Broj dana za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rješavanje redovnih predmeta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bottom"/>
            <w:hideMark/>
          </w:tcPr>
          <w:p w14:paraId="4574FEA4" w14:textId="77777777" w:rsidR="009505E3" w:rsidRPr="00DA0C0B" w:rsidRDefault="009505E3" w:rsidP="004A6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Broj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 xml:space="preserve">zemljišnoknjižnih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odjela</w:t>
            </w:r>
          </w:p>
        </w:tc>
      </w:tr>
      <w:tr w:rsidR="00E900B4" w:rsidRPr="00E900B4" w14:paraId="2DB69255" w14:textId="77777777" w:rsidTr="00187CEB">
        <w:trPr>
          <w:trHeight w:val="3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14:paraId="70226318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</w:tcPr>
          <w:p w14:paraId="72407432" w14:textId="77777777" w:rsidR="009505E3" w:rsidRPr="00E900B4" w:rsidRDefault="00A80411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</w:t>
            </w:r>
            <w:r w:rsidR="00413E25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</w:t>
            </w:r>
          </w:p>
        </w:tc>
      </w:tr>
      <w:tr w:rsidR="00E900B4" w:rsidRPr="00E900B4" w14:paraId="518D35EF" w14:textId="77777777" w:rsidTr="00187CEB">
        <w:trPr>
          <w:trHeight w:val="3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89D92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B61C9F2" w14:textId="77777777" w:rsidR="009505E3" w:rsidRPr="00E900B4" w:rsidRDefault="00054594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27</w:t>
            </w:r>
          </w:p>
        </w:tc>
      </w:tr>
      <w:tr w:rsidR="00E900B4" w:rsidRPr="00E900B4" w14:paraId="2E78E547" w14:textId="77777777" w:rsidTr="00187CEB">
        <w:trPr>
          <w:trHeight w:val="3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14:paraId="315AF6AE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</w:tcPr>
          <w:p w14:paraId="09B6376C" w14:textId="77777777" w:rsidR="009505E3" w:rsidRPr="00E900B4" w:rsidRDefault="00A80411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</w:t>
            </w:r>
            <w:r w:rsidR="00413E25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</w:t>
            </w:r>
          </w:p>
        </w:tc>
      </w:tr>
      <w:tr w:rsidR="00E900B4" w:rsidRPr="00E900B4" w14:paraId="3DDD64C9" w14:textId="77777777" w:rsidTr="00187CEB">
        <w:trPr>
          <w:trHeight w:val="3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0B3B9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8FBC5BC" w14:textId="77777777" w:rsidR="009505E3" w:rsidRPr="00E900B4" w:rsidRDefault="00A80411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7</w:t>
            </w:r>
          </w:p>
        </w:tc>
      </w:tr>
      <w:tr w:rsidR="00E900B4" w:rsidRPr="00E900B4" w14:paraId="371AFF1A" w14:textId="77777777" w:rsidTr="00187CEB">
        <w:trPr>
          <w:trHeight w:val="3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14:paraId="7170424A" w14:textId="77777777" w:rsidR="009505E3" w:rsidRPr="00E900B4" w:rsidRDefault="009505E3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E900B4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</w:tcPr>
          <w:p w14:paraId="7AAC17D3" w14:textId="77777777" w:rsidR="009505E3" w:rsidRPr="00E900B4" w:rsidRDefault="002D619D" w:rsidP="004A608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</w:t>
            </w:r>
          </w:p>
        </w:tc>
      </w:tr>
    </w:tbl>
    <w:p w14:paraId="21B94F41" w14:textId="77777777" w:rsidR="009505E3" w:rsidRPr="00E900B4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23D0A" w14:textId="77777777" w:rsidR="009505E3" w:rsidRPr="00E900B4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C8CF7" w14:textId="77777777" w:rsidR="009017D2" w:rsidRPr="00174F29" w:rsidRDefault="00231C79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 w:rsidRPr="00174F29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74F29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174F29">
        <w:rPr>
          <w:rFonts w:asciiTheme="minorHAnsi" w:hAnsiTheme="minorHAnsi" w:cstheme="minorHAnsi"/>
          <w:sz w:val="22"/>
          <w:szCs w:val="22"/>
        </w:rPr>
        <w:t xml:space="preserve"> je</w:t>
      </w:r>
      <w:r w:rsidR="007F44E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4EE" w:rsidRPr="00174F29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="007F44E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F29" w:rsidRPr="00174F29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F29" w:rsidRPr="00174F29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je za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97E" w:rsidRPr="00174F29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EE497E" w:rsidRPr="00174F29">
        <w:rPr>
          <w:rFonts w:asciiTheme="minorHAnsi" w:hAnsiTheme="minorHAnsi" w:cstheme="minorHAnsi"/>
          <w:sz w:val="22"/>
          <w:szCs w:val="22"/>
        </w:rPr>
        <w:t xml:space="preserve"> od 90 dana. </w:t>
      </w:r>
    </w:p>
    <w:p w14:paraId="7C089B85" w14:textId="77777777" w:rsidR="009D5AAA" w:rsidRPr="00E900B4" w:rsidRDefault="009D5AAA" w:rsidP="009D5AAA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33" w:name="_Toc505002659"/>
      <w:bookmarkStart w:id="34" w:name="_Toc505002741"/>
    </w:p>
    <w:p w14:paraId="71433B91" w14:textId="77777777" w:rsidR="00C368CE" w:rsidRPr="00E900B4" w:rsidRDefault="009D5AAA" w:rsidP="009D5AA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5" w:name="_Toc70332769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6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  <w:bookmarkEnd w:id="34"/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231C79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231C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31C79">
        <w:rPr>
          <w:rFonts w:asciiTheme="minorHAnsi" w:hAnsiTheme="minorHAnsi" w:cstheme="minorHAnsi"/>
          <w:b w:val="0"/>
          <w:sz w:val="22"/>
          <w:szCs w:val="22"/>
        </w:rPr>
        <w:t>zemljišnoknjižnog</w:t>
      </w:r>
      <w:proofErr w:type="spellEnd"/>
      <w:r w:rsidR="00231C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31C79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231C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31C79">
        <w:rPr>
          <w:rFonts w:asciiTheme="minorHAnsi" w:hAnsiTheme="minorHAnsi" w:cstheme="minorHAnsi"/>
          <w:b w:val="0"/>
          <w:sz w:val="22"/>
          <w:szCs w:val="22"/>
        </w:rPr>
        <w:t>kojemu</w:t>
      </w:r>
      <w:proofErr w:type="spellEnd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 xml:space="preserve"> je za </w:t>
      </w:r>
      <w:proofErr w:type="spellStart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>rješavanje</w:t>
      </w:r>
      <w:proofErr w:type="spellEnd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0BCA" w:rsidRPr="00E900B4">
        <w:rPr>
          <w:rFonts w:asciiTheme="minorHAnsi" w:hAnsiTheme="minorHAnsi" w:cstheme="minorHAnsi"/>
          <w:b w:val="0"/>
          <w:sz w:val="22"/>
          <w:szCs w:val="22"/>
        </w:rPr>
        <w:t>po</w:t>
      </w:r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>trebno</w:t>
      </w:r>
      <w:proofErr w:type="spellEnd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>više</w:t>
      </w:r>
      <w:proofErr w:type="spellEnd"/>
      <w:r w:rsidR="00C368CE" w:rsidRPr="00E900B4">
        <w:rPr>
          <w:rFonts w:asciiTheme="minorHAnsi" w:hAnsiTheme="minorHAnsi" w:cstheme="minorHAnsi"/>
          <w:b w:val="0"/>
          <w:sz w:val="22"/>
          <w:szCs w:val="22"/>
        </w:rPr>
        <w:t xml:space="preserve"> od 90 dana</w:t>
      </w:r>
      <w:bookmarkEnd w:id="35"/>
    </w:p>
    <w:p w14:paraId="3B512C6D" w14:textId="77777777" w:rsidR="00A003B9" w:rsidRPr="00E900B4" w:rsidRDefault="00A003B9" w:rsidP="00A003B9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E900B4" w:rsidRPr="00E900B4" w14:paraId="1E64B07F" w14:textId="77777777" w:rsidTr="00187CEB">
        <w:trPr>
          <w:trHeight w:val="1200"/>
          <w:jc w:val="center"/>
        </w:trPr>
        <w:tc>
          <w:tcPr>
            <w:tcW w:w="2460" w:type="dxa"/>
            <w:shd w:val="clear" w:color="4472C4" w:fill="4472C4"/>
            <w:noWrap/>
            <w:vAlign w:val="center"/>
            <w:hideMark/>
          </w:tcPr>
          <w:p w14:paraId="34222A17" w14:textId="77777777" w:rsidR="00785815" w:rsidRPr="00DA0C0B" w:rsidRDefault="00785815" w:rsidP="00A003B9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Zemljišnoknjižni odjel</w:t>
            </w:r>
          </w:p>
        </w:tc>
        <w:tc>
          <w:tcPr>
            <w:tcW w:w="1660" w:type="dxa"/>
            <w:shd w:val="clear" w:color="4472C4" w:fill="4472C4"/>
            <w:vAlign w:val="center"/>
            <w:hideMark/>
          </w:tcPr>
          <w:p w14:paraId="1DB57BB1" w14:textId="77777777" w:rsidR="00785815" w:rsidRPr="00DA0C0B" w:rsidRDefault="00785815" w:rsidP="00F4677A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Prosječno mjesečno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zaprimljeno predmeta</w:t>
            </w:r>
            <w:r w:rsidR="005F4D73"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u</w:t>
            </w:r>
            <w:r w:rsidR="00A804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</w:t>
            </w:r>
            <w:r w:rsidR="002D619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I</w:t>
            </w:r>
            <w:r w:rsidR="00A804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I</w:t>
            </w:r>
            <w:r w:rsidR="009A6FD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I</w:t>
            </w:r>
            <w:r w:rsidR="00174F2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. kvartalu 2022</w:t>
            </w:r>
            <w:r w:rsidR="00081D7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.</w:t>
            </w:r>
          </w:p>
        </w:tc>
        <w:tc>
          <w:tcPr>
            <w:tcW w:w="2120" w:type="dxa"/>
            <w:shd w:val="clear" w:color="4472C4" w:fill="4472C4"/>
            <w:vAlign w:val="center"/>
            <w:hideMark/>
          </w:tcPr>
          <w:p w14:paraId="5656E5C7" w14:textId="77777777" w:rsidR="00785815" w:rsidRPr="00DA0C0B" w:rsidRDefault="00785815" w:rsidP="00785815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Neriješeni redovni predmeti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na kraju razdoblja</w:t>
            </w:r>
          </w:p>
        </w:tc>
        <w:tc>
          <w:tcPr>
            <w:tcW w:w="1680" w:type="dxa"/>
            <w:shd w:val="clear" w:color="4472C4" w:fill="4472C4"/>
            <w:vAlign w:val="center"/>
            <w:hideMark/>
          </w:tcPr>
          <w:p w14:paraId="5EB9F123" w14:textId="77777777" w:rsidR="00785815" w:rsidRPr="00DA0C0B" w:rsidRDefault="00785815" w:rsidP="00AF0966">
            <w:pPr>
              <w:spacing w:line="24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Prosječno vrijeme </w:t>
            </w:r>
            <w:r w:rsidRPr="00DA0C0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br/>
              <w:t>potrebno za rješavanje redovnih predmeta</w:t>
            </w:r>
          </w:p>
        </w:tc>
      </w:tr>
      <w:tr w:rsidR="00AE076D" w:rsidRPr="00081D77" w14:paraId="48F3A9CE" w14:textId="77777777" w:rsidTr="007D6107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17D3B761" w14:textId="77777777" w:rsidR="00AE076D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302EC367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518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0D0B24FB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1941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7F966D7F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233</w:t>
            </w:r>
          </w:p>
        </w:tc>
      </w:tr>
      <w:tr w:rsidR="00AE076D" w:rsidRPr="00081D77" w14:paraId="06A9BEFB" w14:textId="77777777" w:rsidTr="007D6107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46C629AA" w14:textId="77777777" w:rsidR="00AE076D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3B3932D4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68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1C5FC137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307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2084186D" w14:textId="77777777" w:rsidR="00AE076D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170</w:t>
            </w:r>
          </w:p>
        </w:tc>
      </w:tr>
      <w:tr w:rsidR="00AE076D" w:rsidRPr="00081D77" w14:paraId="55085637" w14:textId="77777777" w:rsidTr="007D6107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39104B32" w14:textId="77777777" w:rsidR="00AE076D" w:rsidRPr="00081D77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412196DA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56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40A5134B" w14:textId="77777777" w:rsidR="00AE076D" w:rsidRPr="00432E46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236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17E205E1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150</w:t>
            </w:r>
          </w:p>
        </w:tc>
      </w:tr>
      <w:tr w:rsidR="00AE076D" w:rsidRPr="00081D77" w14:paraId="2932C876" w14:textId="77777777" w:rsidTr="007D6107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3BE04EC7" w14:textId="77777777" w:rsidR="00AE076D" w:rsidRPr="00081D77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273AF71F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180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1C271709" w14:textId="77777777" w:rsidR="00AE076D" w:rsidRPr="00432E46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880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22AB85A5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136</w:t>
            </w:r>
          </w:p>
        </w:tc>
      </w:tr>
      <w:tr w:rsidR="00AE076D" w:rsidRPr="00081D77" w14:paraId="426DD79A" w14:textId="77777777" w:rsidTr="007D6107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1C410F37" w14:textId="77777777" w:rsidR="00AE076D" w:rsidRPr="00081D77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Pag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06F17B3D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397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791186DC" w14:textId="77777777" w:rsidR="00AE076D" w:rsidRPr="00432E46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1898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306F8C80" w14:textId="77777777" w:rsidR="00AE076D" w:rsidRPr="00081D77" w:rsidRDefault="00AE076D" w:rsidP="007D61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135</w:t>
            </w:r>
          </w:p>
        </w:tc>
      </w:tr>
      <w:tr w:rsidR="00AE076D" w:rsidRPr="00E900B4" w14:paraId="47078F32" w14:textId="77777777" w:rsidTr="00187CEB">
        <w:trPr>
          <w:trHeight w:val="300"/>
          <w:jc w:val="center"/>
        </w:trPr>
        <w:tc>
          <w:tcPr>
            <w:tcW w:w="2460" w:type="dxa"/>
            <w:shd w:val="clear" w:color="auto" w:fill="B8CCE4" w:themeFill="accent1" w:themeFillTint="66"/>
            <w:noWrap/>
          </w:tcPr>
          <w:p w14:paraId="0AF50544" w14:textId="77777777" w:rsidR="00AE076D" w:rsidRPr="00081D77" w:rsidRDefault="00AE076D" w:rsidP="00174F2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660" w:type="dxa"/>
            <w:shd w:val="clear" w:color="auto" w:fill="B8CCE4" w:themeFill="accent1" w:themeFillTint="66"/>
            <w:noWrap/>
          </w:tcPr>
          <w:p w14:paraId="74D7BEC4" w14:textId="77777777" w:rsidR="00AE076D" w:rsidRPr="00081D77" w:rsidRDefault="00AE076D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498</w:t>
            </w:r>
          </w:p>
        </w:tc>
        <w:tc>
          <w:tcPr>
            <w:tcW w:w="2120" w:type="dxa"/>
            <w:shd w:val="clear" w:color="auto" w:fill="B8CCE4" w:themeFill="accent1" w:themeFillTint="66"/>
            <w:noWrap/>
          </w:tcPr>
          <w:p w14:paraId="13BE66D5" w14:textId="77777777" w:rsidR="00AE076D" w:rsidRPr="00432E46" w:rsidRDefault="00AE076D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2.451</w:t>
            </w:r>
          </w:p>
        </w:tc>
        <w:tc>
          <w:tcPr>
            <w:tcW w:w="1680" w:type="dxa"/>
            <w:shd w:val="clear" w:color="auto" w:fill="B8CCE4" w:themeFill="accent1" w:themeFillTint="66"/>
            <w:noWrap/>
          </w:tcPr>
          <w:p w14:paraId="0A7BB626" w14:textId="77777777" w:rsidR="00AE076D" w:rsidRPr="00081D77" w:rsidRDefault="00AE076D" w:rsidP="00081D7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113</w:t>
            </w:r>
          </w:p>
        </w:tc>
      </w:tr>
    </w:tbl>
    <w:p w14:paraId="080D3E45" w14:textId="77777777" w:rsidR="0020725E" w:rsidRPr="00E900B4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A8D04" w14:textId="77777777" w:rsidR="00174F29" w:rsidRDefault="00174F29" w:rsidP="00DE3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0DC3F" w14:textId="77777777" w:rsidR="00E32DDC" w:rsidRPr="00933BEB" w:rsidRDefault="00E32DDC" w:rsidP="00E32DD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3CD5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nekretnine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prometa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tržištu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r w:rsidRPr="006E6121">
        <w:rPr>
          <w:rFonts w:asciiTheme="minorHAnsi" w:hAnsiTheme="minorHAnsi" w:cstheme="minorHAnsi"/>
          <w:sz w:val="22"/>
          <w:szCs w:val="22"/>
        </w:rPr>
        <w:t>u</w:t>
      </w:r>
      <w:r w:rsidRPr="00666453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III. </w:t>
      </w:r>
      <w:proofErr w:type="spellStart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kvartalu</w:t>
      </w:r>
      <w:proofErr w:type="spellEnd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2022. </w:t>
      </w:r>
      <w:proofErr w:type="spellStart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bilo</w:t>
      </w:r>
      <w:proofErr w:type="spellEnd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je 13,32 </w:t>
      </w:r>
      <w:proofErr w:type="spellStart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radnih</w:t>
      </w:r>
      <w:proofErr w:type="spellEnd"/>
      <w:r w:rsidRPr="0066645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dana. </w:t>
      </w:r>
    </w:p>
    <w:p w14:paraId="0E2E383A" w14:textId="77777777" w:rsidR="00E32DDC" w:rsidRDefault="00E32DDC" w:rsidP="00E32DDC">
      <w:pPr>
        <w:jc w:val="both"/>
        <w:rPr>
          <w:rFonts w:asciiTheme="minorHAnsi" w:hAnsiTheme="minorHAnsi" w:cstheme="minorHAnsi"/>
          <w:sz w:val="22"/>
          <w:szCs w:val="22"/>
        </w:rPr>
      </w:pPr>
      <w:r w:rsidRPr="00BD50AD">
        <w:rPr>
          <w:rFonts w:asciiTheme="minorHAnsi" w:hAnsiTheme="minorHAnsi" w:cstheme="minorHAnsi"/>
          <w:sz w:val="22"/>
          <w:szCs w:val="22"/>
        </w:rPr>
        <w:t xml:space="preserve">Ovo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0AD">
        <w:rPr>
          <w:rFonts w:asciiTheme="minorHAnsi" w:hAnsiTheme="minorHAnsi" w:cstheme="minorHAnsi"/>
          <w:sz w:val="22"/>
          <w:szCs w:val="22"/>
        </w:rPr>
        <w:t>zaprimanja</w:t>
      </w:r>
      <w:proofErr w:type="spellEnd"/>
      <w:r w:rsidRPr="00BD50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pretpostavkom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urednom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podnesku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odredbi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. 115.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knjigam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novine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63/19</w:t>
      </w:r>
      <w:r w:rsidRPr="00DE3CD5">
        <w:rPr>
          <w:rFonts w:asciiTheme="minorHAnsi" w:hAnsiTheme="minorHAnsi" w:cstheme="minorHAnsi"/>
          <w:sz w:val="22"/>
          <w:szCs w:val="22"/>
        </w:rPr>
        <w:t xml:space="preserve">). U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redovitom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prethode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plombe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ranijeg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reda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prvenstva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utvrđena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dostave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isprava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mjerenje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stjecanja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uvjeta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podnesak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smatra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urednim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automatski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bilježenje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3CD5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2FCCA8" w14:textId="77777777" w:rsidR="006152C7" w:rsidRDefault="006152C7" w:rsidP="00DE3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B1CBA" w14:textId="77777777" w:rsidR="00174F29" w:rsidRDefault="00174F29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D19E14A" w14:textId="77777777" w:rsidR="00174F29" w:rsidRDefault="00174F29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4E4A5ED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02BE7155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F0E83A6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ADD52DE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7C0FE25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1E28FB5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BAFEA6B" w14:textId="77777777" w:rsidR="008412DB" w:rsidRPr="008412DB" w:rsidRDefault="008412DB" w:rsidP="008412DB"/>
    <w:p w14:paraId="06C0F8A5" w14:textId="77777777" w:rsidR="00B2219D" w:rsidRDefault="00B2219D" w:rsidP="009C5EC9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40F8964" w14:textId="77777777" w:rsidR="00DE3CD5" w:rsidRDefault="00DE3CD5" w:rsidP="009C5EC9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DE3CD5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7</w:t>
      </w:r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radnih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potrebnih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za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uknjižbu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prava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vlasništva</w:t>
      </w:r>
      <w:r w:rsidR="00163D62">
        <w:rPr>
          <w:rFonts w:asciiTheme="minorHAnsi" w:hAnsiTheme="minorHAnsi" w:cstheme="minorHAnsi"/>
          <w:b w:val="0"/>
          <w:sz w:val="22"/>
          <w:szCs w:val="22"/>
        </w:rPr>
        <w:t>-ugovor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163D62">
        <w:rPr>
          <w:rFonts w:asciiTheme="minorHAnsi" w:hAnsiTheme="minorHAnsi" w:cstheme="minorHAnsi"/>
          <w:b w:val="0"/>
          <w:sz w:val="22"/>
          <w:szCs w:val="22"/>
        </w:rPr>
        <w:t>kupoprodaji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založno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764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="006D2B30">
        <w:rPr>
          <w:rFonts w:asciiTheme="minorHAnsi" w:hAnsiTheme="minorHAnsi" w:cstheme="minorHAnsi"/>
          <w:b w:val="0"/>
          <w:sz w:val="22"/>
          <w:szCs w:val="22"/>
        </w:rPr>
        <w:t>I</w:t>
      </w:r>
      <w:r w:rsidR="00E32DDC">
        <w:rPr>
          <w:rFonts w:asciiTheme="minorHAnsi" w:hAnsiTheme="minorHAnsi" w:cstheme="minorHAnsi"/>
          <w:b w:val="0"/>
          <w:sz w:val="22"/>
          <w:szCs w:val="22"/>
        </w:rPr>
        <w:t>I</w:t>
      </w:r>
      <w:r w:rsidR="00187CEB">
        <w:rPr>
          <w:rFonts w:asciiTheme="minorHAnsi" w:hAnsiTheme="minorHAnsi" w:cstheme="minorHAnsi"/>
          <w:b w:val="0"/>
          <w:sz w:val="22"/>
          <w:szCs w:val="22"/>
        </w:rPr>
        <w:t>I</w:t>
      </w:r>
      <w:r w:rsidR="00A03E68">
        <w:rPr>
          <w:rFonts w:asciiTheme="minorHAnsi" w:hAnsiTheme="minorHAnsi" w:cstheme="minorHAnsi"/>
          <w:b w:val="0"/>
          <w:sz w:val="22"/>
          <w:szCs w:val="22"/>
        </w:rPr>
        <w:t>.</w:t>
      </w:r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187CEB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31684B0" w14:textId="77777777" w:rsidR="006E6121" w:rsidRDefault="006E6121" w:rsidP="006E6121"/>
    <w:p w14:paraId="21ED3918" w14:textId="77777777" w:rsidR="00933BEB" w:rsidRDefault="00933BEB" w:rsidP="006E6121"/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692"/>
        <w:gridCol w:w="1324"/>
        <w:gridCol w:w="1324"/>
        <w:gridCol w:w="1324"/>
        <w:gridCol w:w="1326"/>
        <w:gridCol w:w="1320"/>
      </w:tblGrid>
      <w:tr w:rsidR="00E32DDC" w:rsidRPr="003F7A77" w14:paraId="33156BF1" w14:textId="77777777" w:rsidTr="00130AE1">
        <w:trPr>
          <w:trHeight w:val="1019"/>
          <w:tblHeader/>
        </w:trPr>
        <w:tc>
          <w:tcPr>
            <w:tcW w:w="820" w:type="pct"/>
            <w:shd w:val="clear" w:color="000000" w:fill="4472C4"/>
            <w:vAlign w:val="center"/>
            <w:hideMark/>
          </w:tcPr>
          <w:p w14:paraId="24B4097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SUD</w:t>
            </w:r>
          </w:p>
        </w:tc>
        <w:tc>
          <w:tcPr>
            <w:tcW w:w="851" w:type="pct"/>
            <w:shd w:val="clear" w:color="000000" w:fill="4472C4"/>
            <w:vAlign w:val="center"/>
            <w:hideMark/>
          </w:tcPr>
          <w:p w14:paraId="29DADE9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666" w:type="pct"/>
            <w:shd w:val="clear" w:color="000000" w:fill="4472C4"/>
            <w:vAlign w:val="center"/>
            <w:hideMark/>
          </w:tcPr>
          <w:p w14:paraId="4C9AE7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Broj provedenih uknjižbi prava vlasništva-ugovor o kupoprodaji (PV)</w:t>
            </w:r>
          </w:p>
        </w:tc>
        <w:tc>
          <w:tcPr>
            <w:tcW w:w="666" w:type="pct"/>
            <w:shd w:val="clear" w:color="000000" w:fill="4472C4"/>
            <w:vAlign w:val="center"/>
            <w:hideMark/>
          </w:tcPr>
          <w:p w14:paraId="6DA0C7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 xml:space="preserve">Prosječan mjesečni broj provedenih uknjižbi prava vlasništva-ugovor o kupoprodaji (PV) </w:t>
            </w:r>
          </w:p>
        </w:tc>
        <w:tc>
          <w:tcPr>
            <w:tcW w:w="666" w:type="pct"/>
            <w:shd w:val="clear" w:color="000000" w:fill="4472C4"/>
            <w:vAlign w:val="center"/>
            <w:hideMark/>
          </w:tcPr>
          <w:p w14:paraId="4C20F1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Broj provedenih uknjižbi založnog prava (ZP)</w:t>
            </w:r>
          </w:p>
        </w:tc>
        <w:tc>
          <w:tcPr>
            <w:tcW w:w="667" w:type="pct"/>
            <w:shd w:val="clear" w:color="000000" w:fill="4472C4"/>
            <w:vAlign w:val="center"/>
            <w:hideMark/>
          </w:tcPr>
          <w:p w14:paraId="26CE881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Prosječan mjesečni broj provedenih uknjižbi založnog prava (ZP)</w:t>
            </w:r>
          </w:p>
        </w:tc>
        <w:tc>
          <w:tcPr>
            <w:tcW w:w="664" w:type="pct"/>
            <w:shd w:val="clear" w:color="000000" w:fill="4472C4"/>
            <w:vAlign w:val="center"/>
            <w:hideMark/>
          </w:tcPr>
          <w:p w14:paraId="5C4736F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Broj radnih dana za uknjižbu (PV) i (ZP)</w:t>
            </w:r>
          </w:p>
        </w:tc>
      </w:tr>
      <w:tr w:rsidR="00E32DDC" w:rsidRPr="003F7A77" w14:paraId="461169AF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57DAC2D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E714DC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BC0BF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C8FC6A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2C3FF0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41BA9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42F4FB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1,4</w:t>
            </w:r>
          </w:p>
        </w:tc>
      </w:tr>
      <w:tr w:rsidR="00E32DDC" w:rsidRPr="003F7A77" w14:paraId="38C0A1B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510286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7E9E7D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70957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1241A5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113DA2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1A483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F4A197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1,7</w:t>
            </w:r>
          </w:p>
        </w:tc>
      </w:tr>
      <w:tr w:rsidR="00E32DDC" w:rsidRPr="003F7A77" w14:paraId="45BD81B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10879A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4D30519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1B6D7B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E7F24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EB6C6E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4FA16E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94CE36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11,4</w:t>
            </w:r>
          </w:p>
        </w:tc>
      </w:tr>
      <w:tr w:rsidR="00E32DDC" w:rsidRPr="003F7A77" w14:paraId="1D2B682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22667B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6663C6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B27786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444055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08D3A9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50E5D5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320D22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1,4</w:t>
            </w:r>
          </w:p>
        </w:tc>
      </w:tr>
      <w:tr w:rsidR="00E32DDC" w:rsidRPr="003F7A77" w14:paraId="52ECAF5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5468FC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F06DBA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52644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81FD03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7840B1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FAAA99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1396BE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8,3</w:t>
            </w:r>
          </w:p>
        </w:tc>
      </w:tr>
      <w:tr w:rsidR="00E32DDC" w:rsidRPr="003F7A77" w14:paraId="6346AC1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D10831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D80D57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89986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A8C2B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C43E19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333482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16323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12,0</w:t>
            </w:r>
          </w:p>
        </w:tc>
      </w:tr>
      <w:tr w:rsidR="00E32DDC" w:rsidRPr="003F7A77" w14:paraId="1F62AA6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944835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446F4EB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D2A849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1398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32E4A3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1E2B97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377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71F2B42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126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06F5D11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5,6</w:t>
            </w:r>
          </w:p>
        </w:tc>
      </w:tr>
      <w:tr w:rsidR="00E32DDC" w:rsidRPr="003F7A77" w14:paraId="706F0235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272F3B5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A03FB8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5D5471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215A13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2D67C9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97797B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C04D51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10,9</w:t>
            </w:r>
          </w:p>
        </w:tc>
      </w:tr>
      <w:tr w:rsidR="00E32DDC" w:rsidRPr="003F7A77" w14:paraId="45B7154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DB48FF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30388A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99DBEE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3B2E25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0A205D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2C6C19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DFE094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24,8</w:t>
            </w:r>
          </w:p>
        </w:tc>
      </w:tr>
      <w:tr w:rsidR="00E32DDC" w:rsidRPr="003F7A77" w14:paraId="21F85331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BB8240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24AF53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0ADFC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DB0F35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875288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1A092B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8286D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14,2</w:t>
            </w:r>
          </w:p>
        </w:tc>
      </w:tr>
      <w:tr w:rsidR="00E32DDC" w:rsidRPr="003F7A77" w14:paraId="6D56E0D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E9C407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60E70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Rab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F8B9EF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A5DE55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F32EC6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FA40A0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3227E5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24,4</w:t>
            </w:r>
          </w:p>
        </w:tc>
      </w:tr>
      <w:tr w:rsidR="00E32DDC" w:rsidRPr="003F7A77" w14:paraId="2C1CF56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8FCB29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15CD32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Senj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11C654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965B81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E545B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53B44E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DCF7D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0,8</w:t>
            </w:r>
          </w:p>
        </w:tc>
      </w:tr>
      <w:tr w:rsidR="00E32DDC" w:rsidRPr="003F7A77" w14:paraId="104EDCE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DFF7A5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7D06049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AEC227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925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FF4612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5D3F776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6D53FE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E0065D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18,5</w:t>
            </w:r>
          </w:p>
        </w:tc>
      </w:tr>
      <w:tr w:rsidR="00E32DDC" w:rsidRPr="003F7A77" w14:paraId="6A13177C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C7DDC9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3856A8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0554BD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34B157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282CC5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EE6379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0EE893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E32DDC" w:rsidRPr="003F7A77" w14:paraId="455DB03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978F0B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FB6D82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48EEA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9C5CE1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47F3F2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0A6F1B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F92FF6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E32DDC" w:rsidRPr="003F7A77" w14:paraId="08D3BD1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63D3F9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6BE2E8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90B7EE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834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391054E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278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429645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19E9146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DC0CF0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E32DDC" w:rsidRPr="003F7A77" w14:paraId="3A2FC750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E0A5BB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E6C9FE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83FD59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F0AAF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2DB7B4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916344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3E16D6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40,7</w:t>
            </w:r>
          </w:p>
        </w:tc>
      </w:tr>
      <w:tr w:rsidR="00E32DDC" w:rsidRPr="003F7A77" w14:paraId="28B4DBE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5FE244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C3687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08AF2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D8F639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0ECD91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95158D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0CB0C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6,3</w:t>
            </w:r>
          </w:p>
        </w:tc>
      </w:tr>
      <w:tr w:rsidR="00E32DDC" w:rsidRPr="003F7A77" w14:paraId="3B23B1E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D64B83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FC99A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4A097C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EB98E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C55366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C13C8A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E05AF5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14,5</w:t>
            </w:r>
          </w:p>
        </w:tc>
      </w:tr>
      <w:tr w:rsidR="00E32DDC" w:rsidRPr="003F7A77" w14:paraId="3FB4EA6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36CF84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67EBF2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778D7F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530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2022EE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8CDCCF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5A3C643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9DE497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13,5</w:t>
            </w:r>
          </w:p>
        </w:tc>
      </w:tr>
      <w:tr w:rsidR="00E32DDC" w:rsidRPr="003F7A77" w14:paraId="1E7B507B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1A91C75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5991E7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E3358A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2DC13A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FEB78A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77FE62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0AE01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2,2</w:t>
            </w:r>
          </w:p>
        </w:tc>
      </w:tr>
      <w:tr w:rsidR="00E32DDC" w:rsidRPr="003F7A77" w14:paraId="3FFA9EF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BCB4A2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E7F72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E02913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8A3F0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9A0CB0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899C36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DEB1E6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E32DDC" w:rsidRPr="003F7A77" w14:paraId="2967AB1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CB1A7F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1685DC6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865A9F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462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F376D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6C63895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4198F1C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38110A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1,7</w:t>
            </w:r>
          </w:p>
        </w:tc>
      </w:tr>
      <w:tr w:rsidR="00E32DDC" w:rsidRPr="003F7A77" w14:paraId="658A68ED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091B201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ABF06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F332AB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8F9787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58FD8A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A7773E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3A7559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3,1</w:t>
            </w:r>
          </w:p>
        </w:tc>
      </w:tr>
      <w:tr w:rsidR="00E32DDC" w:rsidRPr="003F7A77" w14:paraId="77361E46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9E8305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B93C7E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F68051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49905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D73C7E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DC9A8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C46123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20,8</w:t>
            </w:r>
          </w:p>
        </w:tc>
      </w:tr>
      <w:tr w:rsidR="00E32DDC" w:rsidRPr="003F7A77" w14:paraId="2D8ABAD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234502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F3B13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EE2B57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A5792C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CA7D21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D345DE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D0255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12,5</w:t>
            </w:r>
          </w:p>
        </w:tc>
      </w:tr>
      <w:tr w:rsidR="00E32DDC" w:rsidRPr="003F7A77" w14:paraId="1480A64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E2E06D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6C87BC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Korenica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4418B2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184861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41A587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1C1656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35B66B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14,4</w:t>
            </w:r>
          </w:p>
        </w:tc>
      </w:tr>
      <w:tr w:rsidR="00E32DDC" w:rsidRPr="003F7A77" w14:paraId="7FD23994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67868F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46047F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CB4AB7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A22AFA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FB94EB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30DB36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FA81FA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16,5</w:t>
            </w:r>
          </w:p>
        </w:tc>
      </w:tr>
      <w:tr w:rsidR="00E32DDC" w:rsidRPr="003F7A77" w14:paraId="62A6EE5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EF7D7A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4519094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C86641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ABB1BD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77275A8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3BC89DA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A55A4F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16,8</w:t>
            </w:r>
          </w:p>
        </w:tc>
      </w:tr>
      <w:tr w:rsidR="00E32DDC" w:rsidRPr="003F7A77" w14:paraId="0D20CE00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911C86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A41367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D3250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941825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132584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370EA9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DE3898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19,5</w:t>
            </w:r>
          </w:p>
        </w:tc>
      </w:tr>
      <w:tr w:rsidR="00E32DDC" w:rsidRPr="003F7A77" w14:paraId="3AC004E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E8B9F6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D70191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07FC1A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034066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6E6206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576668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A48826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14,2</w:t>
            </w:r>
          </w:p>
        </w:tc>
      </w:tr>
      <w:tr w:rsidR="00E32DDC" w:rsidRPr="003F7A77" w14:paraId="035D3216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3882CE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A2FEC8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B925A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8B051D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F3F7F2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1FD551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EB6BC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7,9</w:t>
            </w:r>
          </w:p>
        </w:tc>
      </w:tr>
      <w:tr w:rsidR="00E32DDC" w:rsidRPr="003F7A77" w14:paraId="395C715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9572A8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006F07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5437E8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95B2DC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9F838F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2AEE18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A0EEB0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4,2</w:t>
            </w:r>
          </w:p>
        </w:tc>
      </w:tr>
      <w:tr w:rsidR="00E32DDC" w:rsidRPr="003F7A77" w14:paraId="74AB5FC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A742C9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5DF292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D3A42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F0A0BC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F735B3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77F191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1F30F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9,6</w:t>
            </w:r>
          </w:p>
        </w:tc>
      </w:tr>
      <w:tr w:rsidR="00E32DDC" w:rsidRPr="003F7A77" w14:paraId="2A19EFE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D85B89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E0789B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423A297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973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4C56604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28B747C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1A4A411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DAEE87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15,8</w:t>
            </w:r>
          </w:p>
        </w:tc>
      </w:tr>
      <w:tr w:rsidR="00E32DDC" w:rsidRPr="003F7A77" w14:paraId="18986D69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01571B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B882E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E82905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1E82AD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2BFDCF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58C89F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B95458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2,5</w:t>
            </w:r>
          </w:p>
        </w:tc>
      </w:tr>
      <w:tr w:rsidR="00E32DDC" w:rsidRPr="003F7A77" w14:paraId="5A7D252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AAA1F2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7AC68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01E35C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202EBB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51A8B9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6695F0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36FFE5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2,9</w:t>
            </w:r>
          </w:p>
        </w:tc>
      </w:tr>
      <w:tr w:rsidR="00E32DDC" w:rsidRPr="003F7A77" w14:paraId="29F3448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E07F37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213AD9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7F83F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779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9A00EB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C6225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2C53EBA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A84210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2,7</w:t>
            </w:r>
          </w:p>
        </w:tc>
      </w:tr>
      <w:tr w:rsidR="00E32DDC" w:rsidRPr="003F7A77" w14:paraId="0A70B492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74990A7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E32869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630EB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A38B94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D29C6F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6C2E59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DEDE4D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E32DDC" w:rsidRPr="003F7A77" w14:paraId="490E04D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0CBFBD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C882BE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0A53B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A39FF1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DFC52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3FD771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DCE93F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2,4</w:t>
            </w:r>
          </w:p>
        </w:tc>
      </w:tr>
      <w:tr w:rsidR="00E32DDC" w:rsidRPr="003F7A77" w14:paraId="3978A84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9DCEE8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BB8320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464D14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435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ABC447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239B564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1948F15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E5EE4B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1,6</w:t>
            </w:r>
          </w:p>
        </w:tc>
      </w:tr>
      <w:tr w:rsidR="00E32DDC" w:rsidRPr="003F7A77" w14:paraId="0FE314DB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64DC924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E533A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FFBFA9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0C95A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795832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DD482D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CABA4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15,1</w:t>
            </w:r>
          </w:p>
        </w:tc>
      </w:tr>
      <w:tr w:rsidR="00E32DDC" w:rsidRPr="003F7A77" w14:paraId="3881671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5A3D9A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9E2533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A9FDDA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07BDC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E08D1F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36BB39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5D49C6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14,6</w:t>
            </w:r>
          </w:p>
        </w:tc>
      </w:tr>
      <w:tr w:rsidR="00E32DDC" w:rsidRPr="003F7A77" w14:paraId="7D58020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75C123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0233279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F8379E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178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1E8011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6C7E911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4E901E8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09F0FE4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14,0</w:t>
            </w:r>
          </w:p>
        </w:tc>
      </w:tr>
      <w:tr w:rsidR="00E32DDC" w:rsidRPr="003F7A77" w14:paraId="4289F9FE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45363C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E28501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B94768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994685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D74CF1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5388E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5C931D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1,5</w:t>
            </w:r>
          </w:p>
        </w:tc>
      </w:tr>
      <w:tr w:rsidR="00E32DDC" w:rsidRPr="003F7A77" w14:paraId="4C9F0F01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2486CE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F86956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91EBF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BA6648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96C4C2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AB1CF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2734E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19,9</w:t>
            </w:r>
          </w:p>
        </w:tc>
      </w:tr>
      <w:tr w:rsidR="00E32DDC" w:rsidRPr="003F7A77" w14:paraId="4DC4641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D0F7B7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25FF955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910E4A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2044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82191E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681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3AE7D2B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795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A8C8B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CE0F9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8,3</w:t>
            </w:r>
          </w:p>
        </w:tc>
      </w:tr>
      <w:tr w:rsidR="00E32DDC" w:rsidRPr="003F7A77" w14:paraId="7EFB1B5F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0241261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85F28B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5AA68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5815DE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EFD0E3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D17018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6A2CF6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15,4</w:t>
            </w:r>
          </w:p>
        </w:tc>
      </w:tr>
      <w:tr w:rsidR="00E32DDC" w:rsidRPr="003F7A77" w14:paraId="0CBFF7C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25608D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99F022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422029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7CA075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C89509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AE516C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1A7C86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2,2</w:t>
            </w:r>
          </w:p>
        </w:tc>
      </w:tr>
      <w:tr w:rsidR="00E32DDC" w:rsidRPr="003F7A77" w14:paraId="7A1E911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B91576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1D2B02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ABDC38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D0304A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7D783F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1EE853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678FA1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9,8</w:t>
            </w:r>
          </w:p>
        </w:tc>
      </w:tr>
      <w:tr w:rsidR="00E32DDC" w:rsidRPr="003F7A77" w14:paraId="645BA12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1B1895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2EF4C1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146D4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558709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CE448F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CD0179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625D4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14,9</w:t>
            </w:r>
          </w:p>
        </w:tc>
      </w:tr>
      <w:tr w:rsidR="00E32DDC" w:rsidRPr="003F7A77" w14:paraId="359A2DEF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A41F52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F67153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0A69BD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42B5DA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557D047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38212E1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6BF1C8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6,2</w:t>
            </w:r>
          </w:p>
        </w:tc>
      </w:tr>
      <w:tr w:rsidR="00E32DDC" w:rsidRPr="003F7A77" w14:paraId="1A7D64F0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76E108C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19D9A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4BF101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0D82B7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007BB5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3AB976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8DD3D1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1,0</w:t>
            </w:r>
          </w:p>
        </w:tc>
      </w:tr>
      <w:tr w:rsidR="00E32DDC" w:rsidRPr="003F7A77" w14:paraId="481F196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7960CE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79B8D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2B5999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BD18B7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0DF759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7AF4F9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B8DC08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0,9</w:t>
            </w:r>
          </w:p>
        </w:tc>
      </w:tr>
      <w:tr w:rsidR="00E32DDC" w:rsidRPr="003F7A77" w14:paraId="5510A091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C1F6F4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FD846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4CC926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71A058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C52492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BCC6F5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CD792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0,9</w:t>
            </w:r>
          </w:p>
        </w:tc>
      </w:tr>
      <w:tr w:rsidR="00E32DDC" w:rsidRPr="003F7A77" w14:paraId="6863C850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9ECC60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769F5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0CC86E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16131A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8B9A6C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5412B5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0278D4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2,2</w:t>
            </w:r>
          </w:p>
        </w:tc>
      </w:tr>
      <w:tr w:rsidR="00E32DDC" w:rsidRPr="003F7A77" w14:paraId="4C1B78C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708980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7FBC2A4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0AE4C9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1352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9BE220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451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3E2CAEF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434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5341826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333FA7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E32DDC" w:rsidRPr="003F7A77" w14:paraId="44DFF72C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54F6095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DD149A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Buje - </w:t>
            </w:r>
            <w:proofErr w:type="spellStart"/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Buie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102D5C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4D0B60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5E3BF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D374C1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D70364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26,9</w:t>
            </w:r>
          </w:p>
        </w:tc>
      </w:tr>
      <w:tr w:rsidR="00E32DDC" w:rsidRPr="003F7A77" w14:paraId="0E3BF0F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F1A2C9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A2DCCB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A1347D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0B9031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4B945D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2B99F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62D986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13,5</w:t>
            </w:r>
          </w:p>
        </w:tc>
      </w:tr>
      <w:tr w:rsidR="00E32DDC" w:rsidRPr="003F7A77" w14:paraId="1230E07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C974BB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3411A4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399EB5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E712E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5CCB94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9ED9E3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BDB2B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6,0</w:t>
            </w:r>
          </w:p>
        </w:tc>
      </w:tr>
      <w:tr w:rsidR="00E32DDC" w:rsidRPr="003F7A77" w14:paraId="58D6641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820060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F9326D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B469F5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F5A8E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014588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7943B1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CAB75E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7,8</w:t>
            </w:r>
          </w:p>
        </w:tc>
      </w:tr>
      <w:tr w:rsidR="00E32DDC" w:rsidRPr="003F7A77" w14:paraId="11F40E5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3CAFCC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D514FF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Poreč - </w:t>
            </w:r>
            <w:proofErr w:type="spellStart"/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Parenzo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3767EF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3F2A7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F05099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F4E03B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EF1EBE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33,7</w:t>
            </w:r>
          </w:p>
        </w:tc>
      </w:tr>
      <w:tr w:rsidR="00E32DDC" w:rsidRPr="003F7A77" w14:paraId="3DBF0AC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AD7823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18AA501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8CE73D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1648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033EEC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549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20122B3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740F93C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4A5F5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23,1</w:t>
            </w:r>
          </w:p>
        </w:tc>
      </w:tr>
      <w:tr w:rsidR="00E32DDC" w:rsidRPr="003F7A77" w14:paraId="59A054DD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650DE67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14F191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82EB4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893E7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32F1B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143974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90F439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29,8</w:t>
            </w:r>
          </w:p>
        </w:tc>
      </w:tr>
      <w:tr w:rsidR="00E32DDC" w:rsidRPr="003F7A77" w14:paraId="307F071D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6E482D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77D5DA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F7EDC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1782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0D0DA7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594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75A3C0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329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2BBDE43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EE8B54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1,6</w:t>
            </w:r>
          </w:p>
        </w:tc>
      </w:tr>
      <w:tr w:rsidR="00E32DDC" w:rsidRPr="003F7A77" w14:paraId="2A56B01E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14409E5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PULA-POLA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07D31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D39DE8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1443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01A3A8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9443F4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A3D939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754C6A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1,7</w:t>
            </w:r>
          </w:p>
        </w:tc>
      </w:tr>
      <w:tr w:rsidR="00E32DDC" w:rsidRPr="003F7A77" w14:paraId="785D6F34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AAF3D7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D71FB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 - Rovigno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AE926A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D7D50E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B948A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C97E41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A15FB7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0,9</w:t>
            </w:r>
          </w:p>
        </w:tc>
      </w:tr>
      <w:tr w:rsidR="00E32DDC" w:rsidRPr="003F7A77" w14:paraId="300F1C4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3800FB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52E7694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2BF5A9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403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202D50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51B351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7501A8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07179DD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29,8</w:t>
            </w:r>
          </w:p>
        </w:tc>
      </w:tr>
      <w:tr w:rsidR="00E32DDC" w:rsidRPr="003F7A77" w14:paraId="48F10EFB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EBD454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E16D0E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C5975F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F0FD0E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CCE53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260CCA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69839D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11,7</w:t>
            </w:r>
          </w:p>
        </w:tc>
      </w:tr>
      <w:tr w:rsidR="00E32DDC" w:rsidRPr="003F7A77" w14:paraId="0496A684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2D88D7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8B8301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D192FE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A508DF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F61E6C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9E07CF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4282EC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14,7</w:t>
            </w:r>
          </w:p>
        </w:tc>
      </w:tr>
      <w:tr w:rsidR="00E32DDC" w:rsidRPr="003F7A77" w14:paraId="57C629B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27EC7D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4C5F55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9623A8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86C867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67058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F09BAF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356109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14,5</w:t>
            </w:r>
          </w:p>
        </w:tc>
      </w:tr>
      <w:tr w:rsidR="00E32DDC" w:rsidRPr="003F7A77" w14:paraId="3485BE9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83A732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60385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75E63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B0911C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5FCC9C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DD69FB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DB99B4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23,8</w:t>
            </w:r>
          </w:p>
        </w:tc>
      </w:tr>
      <w:tr w:rsidR="00E32DDC" w:rsidRPr="003F7A77" w14:paraId="7D4B16F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9ED869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852141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FDAAFF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39E8F1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4E4743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B4C57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ABCEFD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15,6</w:t>
            </w:r>
          </w:p>
        </w:tc>
      </w:tr>
      <w:tr w:rsidR="00E32DDC" w:rsidRPr="003F7A77" w14:paraId="18FD6F4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4BC596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8BF428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C67002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67E390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35E9F5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014296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085D30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16,3</w:t>
            </w:r>
          </w:p>
        </w:tc>
      </w:tr>
      <w:tr w:rsidR="00E32DDC" w:rsidRPr="003F7A77" w14:paraId="57FF643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DA22E4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1D5A0C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B859D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2151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FE4F75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7DF2C05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632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4C9B8B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211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9C0796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16,5</w:t>
            </w:r>
          </w:p>
        </w:tc>
      </w:tr>
      <w:tr w:rsidR="00E32DDC" w:rsidRPr="003F7A77" w14:paraId="32457EB5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7BB3E04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EB0D9C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19F0E5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DF60D2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3635A1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5835A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B3B700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17,5</w:t>
            </w:r>
          </w:p>
        </w:tc>
      </w:tr>
      <w:tr w:rsidR="00E32DDC" w:rsidRPr="003F7A77" w14:paraId="21270CD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F1AA83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CB4243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5DF255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CA7FA4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33A66A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28169E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9C90DE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17,9</w:t>
            </w:r>
          </w:p>
        </w:tc>
      </w:tr>
      <w:tr w:rsidR="00E32DDC" w:rsidRPr="003F7A77" w14:paraId="4540AB16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225721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196ED9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624AE6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843F11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184343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7D3819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8202BE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11,0</w:t>
            </w:r>
          </w:p>
        </w:tc>
      </w:tr>
      <w:tr w:rsidR="00E32DDC" w:rsidRPr="003F7A77" w14:paraId="0D29D8F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CF03BF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73A405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0C20A0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F0703D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B2AEE0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8FB433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A4F3ED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1,3</w:t>
            </w:r>
          </w:p>
        </w:tc>
      </w:tr>
      <w:tr w:rsidR="00E32DDC" w:rsidRPr="003F7A77" w14:paraId="322E68F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974DA3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2E5289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C52AE7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917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AFC49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306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2BA427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538D352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6B3D854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13,0</w:t>
            </w:r>
          </w:p>
        </w:tc>
      </w:tr>
      <w:tr w:rsidR="00E32DDC" w:rsidRPr="003F7A77" w14:paraId="61D6A680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97D3E2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4C6D62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B13856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6F12FA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DBD3FA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040CA4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09CFE5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25,7</w:t>
            </w:r>
          </w:p>
        </w:tc>
      </w:tr>
      <w:tr w:rsidR="00E32DDC" w:rsidRPr="003F7A77" w14:paraId="046A4BC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2BE543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AB29CE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139FD4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8B5349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AB0B6B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85D72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408106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5,1</w:t>
            </w:r>
          </w:p>
        </w:tc>
      </w:tr>
      <w:tr w:rsidR="00E32DDC" w:rsidRPr="003F7A77" w14:paraId="6D019D9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CE9337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968E60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84C72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7D6622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6805FF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5ED58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D55BB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9,4</w:t>
            </w:r>
          </w:p>
        </w:tc>
      </w:tr>
      <w:tr w:rsidR="00E32DDC" w:rsidRPr="003F7A77" w14:paraId="6801E298" w14:textId="77777777" w:rsidTr="00130AE1">
        <w:trPr>
          <w:trHeight w:val="550"/>
        </w:trPr>
        <w:tc>
          <w:tcPr>
            <w:tcW w:w="820" w:type="pct"/>
            <w:vMerge/>
            <w:vAlign w:val="center"/>
            <w:hideMark/>
          </w:tcPr>
          <w:p w14:paraId="7206F27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91500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Hrvatska Kostajnica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4B89D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97DFEE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1A7C2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BCA3FB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8F9F39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12,3</w:t>
            </w:r>
          </w:p>
        </w:tc>
      </w:tr>
      <w:tr w:rsidR="00E32DDC" w:rsidRPr="003F7A77" w14:paraId="4E170FB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B5ECC5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D3023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00A0B6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C63F9B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270652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CE6854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293E07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2,2</w:t>
            </w:r>
          </w:p>
        </w:tc>
      </w:tr>
      <w:tr w:rsidR="00E32DDC" w:rsidRPr="003F7A77" w14:paraId="3411CCB0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5C3D60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F7650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1EB68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F1F6CB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39A7AD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866E2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E0AEC2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3,2</w:t>
            </w:r>
          </w:p>
        </w:tc>
      </w:tr>
      <w:tr w:rsidR="00E32DDC" w:rsidRPr="003F7A77" w14:paraId="5C80890D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9E64AF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02D7979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3DF40D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1027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46C8434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342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BCA590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CC658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102AFEE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5,0</w:t>
            </w:r>
          </w:p>
        </w:tc>
      </w:tr>
      <w:tr w:rsidR="00E32DDC" w:rsidRPr="003F7A77" w14:paraId="64B1369F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A16A1F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15096A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BB0BCF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64F2FD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6EA532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68493C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725EAE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1,9</w:t>
            </w:r>
          </w:p>
        </w:tc>
      </w:tr>
      <w:tr w:rsidR="00E32DDC" w:rsidRPr="003F7A77" w14:paraId="561DBF3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D894D0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5CC22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C9176C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386D95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74C635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88B52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3D5A4B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2,6</w:t>
            </w:r>
          </w:p>
        </w:tc>
      </w:tr>
      <w:tr w:rsidR="00E32DDC" w:rsidRPr="003F7A77" w14:paraId="7F81925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E3DE25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722293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3494AAA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922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4663A9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307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787ABA1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1742121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CBDFC3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2,5</w:t>
            </w:r>
          </w:p>
        </w:tc>
      </w:tr>
      <w:tr w:rsidR="00E32DDC" w:rsidRPr="003F7A77" w14:paraId="34A1E4F5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28D8BF1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E27D64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9555F5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B36F00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5A4417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9717B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188B55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15,3</w:t>
            </w:r>
          </w:p>
        </w:tc>
      </w:tr>
      <w:tr w:rsidR="00E32DDC" w:rsidRPr="003F7A77" w14:paraId="5486570D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1D96BB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D06F83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6E406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A9C6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32FF0F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13CFC5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BAA6F8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20,0</w:t>
            </w:r>
          </w:p>
        </w:tc>
      </w:tr>
      <w:tr w:rsidR="00E32DDC" w:rsidRPr="003F7A77" w14:paraId="328AC12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0C67E0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9DE2A3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B05442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413BE3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4762DF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4CDFD4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D7953A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8,5</w:t>
            </w:r>
          </w:p>
        </w:tc>
      </w:tr>
      <w:tr w:rsidR="00E32DDC" w:rsidRPr="003F7A77" w14:paraId="03434906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020B15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140049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FDC2B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524C65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ED9F73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AED92E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729A24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9,0</w:t>
            </w:r>
          </w:p>
        </w:tc>
      </w:tr>
      <w:tr w:rsidR="00E32DDC" w:rsidRPr="003F7A77" w14:paraId="2686C30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7552CB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A24C6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259813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EBF734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1B713A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77A07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F72E9F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15,6</w:t>
            </w:r>
          </w:p>
        </w:tc>
      </w:tr>
      <w:tr w:rsidR="00E32DDC" w:rsidRPr="003F7A77" w14:paraId="5CB3B94D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AF3FD9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D53755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5C9B0B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58D776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F2BA91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902303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4019B6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17,2</w:t>
            </w:r>
          </w:p>
        </w:tc>
      </w:tr>
      <w:tr w:rsidR="00E32DDC" w:rsidRPr="003F7A77" w14:paraId="393B989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5D8949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0CA3C7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97EEE7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58EEC0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70277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4B42B3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EEA9A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46,2</w:t>
            </w:r>
          </w:p>
        </w:tc>
      </w:tr>
      <w:tr w:rsidR="00E32DDC" w:rsidRPr="003F7A77" w14:paraId="5917504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E599B0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9CD13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1128F2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00BC9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F2AF76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E6285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4A2EAD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7,5</w:t>
            </w:r>
          </w:p>
        </w:tc>
      </w:tr>
      <w:tr w:rsidR="00E32DDC" w:rsidRPr="003F7A77" w14:paraId="2019FA8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E70AE4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73D9DF5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085AAE0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1977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9D41CA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659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795B72F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735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4456D1E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245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1BECF0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17,1</w:t>
            </w:r>
          </w:p>
        </w:tc>
      </w:tr>
      <w:tr w:rsidR="00E32DDC" w:rsidRPr="003F7A77" w14:paraId="76CB9945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1FAD71A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EDCE4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D0EBBD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948858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E37CA9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D63B2F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4D5528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28,9</w:t>
            </w:r>
          </w:p>
        </w:tc>
      </w:tr>
      <w:tr w:rsidR="00E32DDC" w:rsidRPr="003F7A77" w14:paraId="5EF8F59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BC3EDE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68B21F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2A2F99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14DEF2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5DD323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1DD446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095D42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26,5</w:t>
            </w:r>
          </w:p>
        </w:tc>
      </w:tr>
      <w:tr w:rsidR="00E32DDC" w:rsidRPr="003F7A77" w14:paraId="042AF339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FF23EA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B5AE6B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9519D9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B18BDD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F38D71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29FBD2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529804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17,6</w:t>
            </w:r>
          </w:p>
        </w:tc>
      </w:tr>
      <w:tr w:rsidR="00E32DDC" w:rsidRPr="003F7A77" w14:paraId="6309211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EC1737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E78CC4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B4133B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F6A5D6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E8E3BC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197B81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47DA3F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18,2</w:t>
            </w:r>
          </w:p>
        </w:tc>
      </w:tr>
      <w:tr w:rsidR="00E32DDC" w:rsidRPr="003F7A77" w14:paraId="3934529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048273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1B14F5A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0E20893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933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13DE23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311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E1D52B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171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15FC244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0508AF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18,5</w:t>
            </w:r>
          </w:p>
        </w:tc>
      </w:tr>
      <w:tr w:rsidR="00E32DDC" w:rsidRPr="003F7A77" w14:paraId="77845416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275077F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51813A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7B6D95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CBCB91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F169DE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1B5416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19AB7A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8,2</w:t>
            </w:r>
          </w:p>
        </w:tc>
      </w:tr>
      <w:tr w:rsidR="00E32DDC" w:rsidRPr="003F7A77" w14:paraId="62DAC34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2A9AC8B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126CD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0E670E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38772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E3494D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23E200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45F30A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3,4</w:t>
            </w:r>
          </w:p>
        </w:tc>
      </w:tr>
      <w:tr w:rsidR="00E32DDC" w:rsidRPr="003F7A77" w14:paraId="5B3D87C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D8316C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0D6D7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32C54D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6C010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132C3E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392D8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3930BE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7,0</w:t>
            </w:r>
          </w:p>
        </w:tc>
      </w:tr>
      <w:tr w:rsidR="00E32DDC" w:rsidRPr="003F7A77" w14:paraId="650E2BB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28F6AE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3044EC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74EC0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332F5B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508BDA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B61740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4AD3D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1,7</w:t>
            </w:r>
          </w:p>
        </w:tc>
      </w:tr>
      <w:tr w:rsidR="00E32DDC" w:rsidRPr="003F7A77" w14:paraId="3F26AE4A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BB015C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5D4118C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2560C39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1116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0C3C594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372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2393E4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248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6916E29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DFF888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4,4</w:t>
            </w:r>
          </w:p>
        </w:tc>
      </w:tr>
      <w:tr w:rsidR="00E32DDC" w:rsidRPr="003F7A77" w14:paraId="75A9CE81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9F92CA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7326EA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4CC367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953453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A93D0E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3C14F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A226C8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5,1</w:t>
            </w:r>
          </w:p>
        </w:tc>
      </w:tr>
      <w:tr w:rsidR="00E32DDC" w:rsidRPr="003F7A77" w14:paraId="7DB7EAA4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E6420C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4B2EB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94BFEF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38042E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A94AD6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4CE304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51FBD9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9,8</w:t>
            </w:r>
          </w:p>
        </w:tc>
      </w:tr>
      <w:tr w:rsidR="00E32DDC" w:rsidRPr="003F7A77" w14:paraId="105C080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3B191A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1E2DD27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EEF0EE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561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41C2D5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187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1804C9B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203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0ABA1F4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214FE04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8,5</w:t>
            </w:r>
          </w:p>
        </w:tc>
      </w:tr>
      <w:tr w:rsidR="00E32DDC" w:rsidRPr="003F7A77" w14:paraId="46D43915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35AD585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622492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C5E72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E5C98C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15F091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5ED04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0CD161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6,8</w:t>
            </w:r>
          </w:p>
        </w:tc>
      </w:tr>
      <w:tr w:rsidR="00E32DDC" w:rsidRPr="003F7A77" w14:paraId="55BD1AAC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69EA93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FCF04A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F2CB7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47583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B43BB5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075F43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82670A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63,8</w:t>
            </w:r>
          </w:p>
        </w:tc>
      </w:tr>
      <w:tr w:rsidR="00E32DDC" w:rsidRPr="003F7A77" w14:paraId="6BEB795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2B52E6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C2BB5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899540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D39EB4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20324D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DA8E1C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2E9BC5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2,1</w:t>
            </w:r>
          </w:p>
        </w:tc>
      </w:tr>
      <w:tr w:rsidR="00E32DDC" w:rsidRPr="003F7A77" w14:paraId="5F6ADFC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39A3A9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0EC5CF9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5B920C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905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3A2A6A9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08484B4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276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587D62A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D3F45F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33,7</w:t>
            </w:r>
          </w:p>
        </w:tc>
      </w:tr>
      <w:tr w:rsidR="00E32DDC" w:rsidRPr="003F7A77" w14:paraId="34D13518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2217BC1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397C6A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0ACB7A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D0E6A5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D12825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A20262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E65072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0,7</w:t>
            </w:r>
          </w:p>
        </w:tc>
      </w:tr>
      <w:tr w:rsidR="00E32DDC" w:rsidRPr="003F7A77" w14:paraId="7BCC492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58EEBB5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6392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31C1F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8FC0A7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82AEDD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1F262A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ABFD14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E32DDC" w:rsidRPr="003F7A77" w14:paraId="64C404F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71EB45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FF8FB0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DC2B6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1CCE6E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CC3220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4FC646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1A43CF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E32DDC" w:rsidRPr="003F7A77" w14:paraId="23F10AE0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EFFF9E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D241D1D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D7DD2D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F0DDB1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19A031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C75D3C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F4BA47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1,0</w:t>
            </w:r>
          </w:p>
        </w:tc>
      </w:tr>
      <w:tr w:rsidR="00E32DDC" w:rsidRPr="003F7A77" w14:paraId="0AC950D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13AFC3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7EEA460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7C8CA2F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644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3A54379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215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4BE58AA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4005DB2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3BB4310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1,1</w:t>
            </w:r>
          </w:p>
        </w:tc>
      </w:tr>
      <w:tr w:rsidR="00E32DDC" w:rsidRPr="003F7A77" w14:paraId="7C20DCE9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682F925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40DD09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10851E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739E57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32550C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99821B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C51E09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1,2</w:t>
            </w:r>
          </w:p>
        </w:tc>
      </w:tr>
      <w:tr w:rsidR="00E32DDC" w:rsidRPr="003F7A77" w14:paraId="58FF9804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3C7C65E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211B10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BC1522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27A73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EA4FFA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AEF63A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CCE14C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3,7</w:t>
            </w:r>
          </w:p>
        </w:tc>
      </w:tr>
      <w:tr w:rsidR="00E32DDC" w:rsidRPr="003F7A77" w14:paraId="08B2B76F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077B21C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6AF8C22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43D0DC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547AE8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79FEE28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424465E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50700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3,3</w:t>
            </w:r>
          </w:p>
        </w:tc>
      </w:tr>
      <w:tr w:rsidR="00E32DDC" w:rsidRPr="003F7A77" w14:paraId="0E9D5D8A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B33E01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>ZADAR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287FC4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CBA388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1760F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EEFE05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37E1FB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8931B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6,9</w:t>
            </w:r>
          </w:p>
        </w:tc>
      </w:tr>
      <w:tr w:rsidR="00E32DDC" w:rsidRPr="003F7A77" w14:paraId="5B162A0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461A2C1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51AF1C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5B9732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68434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8E98F4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32B9B7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AF744C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3,2</w:t>
            </w:r>
          </w:p>
        </w:tc>
      </w:tr>
      <w:tr w:rsidR="00E32DDC" w:rsidRPr="003F7A77" w14:paraId="347212AF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C576765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267C8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F8379F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1E9EFE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6A5A3E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B8E6C4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1DBB31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7,1</w:t>
            </w:r>
          </w:p>
        </w:tc>
      </w:tr>
      <w:tr w:rsidR="00E32DDC" w:rsidRPr="003F7A77" w14:paraId="70AD075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743863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47FA54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FF42CF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285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56EFFD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E58AC0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ACB42E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2D1AB7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30,4</w:t>
            </w:r>
          </w:p>
        </w:tc>
      </w:tr>
      <w:tr w:rsidR="00E32DDC" w:rsidRPr="003F7A77" w14:paraId="72853E7D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8FF9D80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14A0BF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0B9119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1549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6E49D0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B69FBB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BE9E5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709155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7,0</w:t>
            </w:r>
          </w:p>
        </w:tc>
      </w:tr>
      <w:tr w:rsidR="00E32DDC" w:rsidRPr="003F7A77" w14:paraId="2D481F31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7CBB39F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35ABC2F9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963A93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2121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1F6080BF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707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5437F55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502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01CB7E7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167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76BF8B1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10,0</w:t>
            </w:r>
          </w:p>
        </w:tc>
      </w:tr>
      <w:tr w:rsidR="00E32DDC" w:rsidRPr="003F7A77" w14:paraId="2BAC0E8E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42E174F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E5008B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F6BDD3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4027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811E39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155E21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1898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6CE6C7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823ACE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6,9</w:t>
            </w:r>
          </w:p>
        </w:tc>
      </w:tr>
      <w:tr w:rsidR="00E32DDC" w:rsidRPr="003F7A77" w14:paraId="64C22027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02B716C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44F0DAA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701322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4027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33ECF75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1342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24D9151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1898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370B5A2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633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498DECC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6,9</w:t>
            </w:r>
          </w:p>
        </w:tc>
      </w:tr>
      <w:tr w:rsidR="00E32DDC" w:rsidRPr="003F7A77" w14:paraId="0BE4E17B" w14:textId="77777777" w:rsidTr="00130AE1">
        <w:trPr>
          <w:trHeight w:val="282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0658746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A764D0B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776464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F7232B6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B1036C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C999B3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14,6</w:t>
            </w:r>
          </w:p>
        </w:tc>
      </w:tr>
      <w:tr w:rsidR="00E32DDC" w:rsidRPr="003F7A77" w14:paraId="167C118B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6AAE44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50370C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00A29A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0EBED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5F7334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7766F9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5A42DC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2,6</w:t>
            </w:r>
          </w:p>
        </w:tc>
      </w:tr>
      <w:tr w:rsidR="00E32DDC" w:rsidRPr="003F7A77" w14:paraId="1589E65E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0B9BF7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0F2F40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388621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22728D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35704A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C59F26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1B6313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20,2</w:t>
            </w:r>
          </w:p>
        </w:tc>
      </w:tr>
      <w:tr w:rsidR="00E32DDC" w:rsidRPr="003F7A77" w14:paraId="796BC345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6575526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F6A8B11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565D31B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E609B0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B28753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A25D417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8463BAA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7,0</w:t>
            </w:r>
          </w:p>
        </w:tc>
      </w:tr>
      <w:tr w:rsidR="00E32DDC" w:rsidRPr="003F7A77" w14:paraId="3B8B1322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362F1817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7BC0518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31C424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E27B8D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4EA230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54DF1F1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A47B22C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12,8</w:t>
            </w:r>
          </w:p>
        </w:tc>
      </w:tr>
      <w:tr w:rsidR="00E32DDC" w:rsidRPr="003F7A77" w14:paraId="2DB52803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6169CE53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31D313A" w14:textId="77777777" w:rsidR="00E32DDC" w:rsidRPr="003F7A77" w:rsidRDefault="00E32DDC" w:rsidP="00C9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1F64734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016542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3A75A3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63C34F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EC7AFE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5,1</w:t>
            </w:r>
          </w:p>
        </w:tc>
      </w:tr>
      <w:tr w:rsidR="00E32DDC" w:rsidRPr="003F7A77" w14:paraId="1E4890D8" w14:textId="77777777" w:rsidTr="00130AE1">
        <w:trPr>
          <w:trHeight w:val="282"/>
        </w:trPr>
        <w:tc>
          <w:tcPr>
            <w:tcW w:w="820" w:type="pct"/>
            <w:vMerge/>
            <w:vAlign w:val="center"/>
            <w:hideMark/>
          </w:tcPr>
          <w:p w14:paraId="19CCB9CF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pct"/>
            <w:shd w:val="clear" w:color="000000" w:fill="D9D9D9"/>
            <w:vAlign w:val="center"/>
            <w:hideMark/>
          </w:tcPr>
          <w:p w14:paraId="5E00EEF2" w14:textId="77777777" w:rsidR="00E32DDC" w:rsidRPr="003F7A77" w:rsidRDefault="00E32DDC" w:rsidP="00C92E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64DBB552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794</w:t>
            </w:r>
          </w:p>
        </w:tc>
        <w:tc>
          <w:tcPr>
            <w:tcW w:w="666" w:type="pct"/>
            <w:shd w:val="clear" w:color="000000" w:fill="D9D9D9"/>
            <w:vAlign w:val="center"/>
            <w:hideMark/>
          </w:tcPr>
          <w:p w14:paraId="5BC7EAD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666" w:type="pct"/>
            <w:shd w:val="clear" w:color="000000" w:fill="D9D9D9"/>
            <w:noWrap/>
            <w:vAlign w:val="center"/>
            <w:hideMark/>
          </w:tcPr>
          <w:p w14:paraId="1F895B6E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667" w:type="pct"/>
            <w:shd w:val="clear" w:color="000000" w:fill="D9D9D9"/>
            <w:vAlign w:val="center"/>
            <w:hideMark/>
          </w:tcPr>
          <w:p w14:paraId="7385413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664" w:type="pct"/>
            <w:shd w:val="clear" w:color="000000" w:fill="D9D9D9"/>
            <w:noWrap/>
            <w:vAlign w:val="center"/>
            <w:hideMark/>
          </w:tcPr>
          <w:p w14:paraId="5A237B93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12,9</w:t>
            </w:r>
          </w:p>
        </w:tc>
      </w:tr>
      <w:tr w:rsidR="00E32DDC" w:rsidRPr="003F7A77" w14:paraId="1FE48BE1" w14:textId="77777777" w:rsidTr="00130AE1">
        <w:trPr>
          <w:trHeight w:val="483"/>
        </w:trPr>
        <w:tc>
          <w:tcPr>
            <w:tcW w:w="1671" w:type="pct"/>
            <w:gridSpan w:val="2"/>
            <w:shd w:val="clear" w:color="000000" w:fill="4472C4"/>
            <w:vAlign w:val="center"/>
            <w:hideMark/>
          </w:tcPr>
          <w:p w14:paraId="60E96B2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666" w:type="pct"/>
            <w:shd w:val="clear" w:color="000000" w:fill="4472C4"/>
            <w:noWrap/>
            <w:vAlign w:val="center"/>
            <w:hideMark/>
          </w:tcPr>
          <w:p w14:paraId="75C0E2AD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32.474</w:t>
            </w:r>
          </w:p>
        </w:tc>
        <w:tc>
          <w:tcPr>
            <w:tcW w:w="666" w:type="pct"/>
            <w:shd w:val="clear" w:color="000000" w:fill="4472C4"/>
            <w:noWrap/>
            <w:vAlign w:val="center"/>
            <w:hideMark/>
          </w:tcPr>
          <w:p w14:paraId="03C4FE70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10.825</w:t>
            </w:r>
          </w:p>
        </w:tc>
        <w:tc>
          <w:tcPr>
            <w:tcW w:w="666" w:type="pct"/>
            <w:shd w:val="clear" w:color="000000" w:fill="4472C4"/>
            <w:noWrap/>
            <w:vAlign w:val="center"/>
            <w:hideMark/>
          </w:tcPr>
          <w:p w14:paraId="3761BE45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9.206</w:t>
            </w:r>
          </w:p>
        </w:tc>
        <w:tc>
          <w:tcPr>
            <w:tcW w:w="667" w:type="pct"/>
            <w:shd w:val="clear" w:color="000000" w:fill="4472C4"/>
            <w:noWrap/>
            <w:vAlign w:val="center"/>
            <w:hideMark/>
          </w:tcPr>
          <w:p w14:paraId="3BCD1DA8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3.069</w:t>
            </w:r>
          </w:p>
        </w:tc>
        <w:tc>
          <w:tcPr>
            <w:tcW w:w="664" w:type="pct"/>
            <w:shd w:val="clear" w:color="000000" w:fill="4472C4"/>
            <w:noWrap/>
            <w:vAlign w:val="center"/>
            <w:hideMark/>
          </w:tcPr>
          <w:p w14:paraId="46F77F89" w14:textId="77777777" w:rsidR="00E32DDC" w:rsidRPr="003F7A77" w:rsidRDefault="00E32DDC" w:rsidP="00C92EC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F7A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13,32</w:t>
            </w:r>
          </w:p>
        </w:tc>
      </w:tr>
    </w:tbl>
    <w:p w14:paraId="1DD6F9CD" w14:textId="77777777" w:rsidR="00933BEB" w:rsidRDefault="00933BEB" w:rsidP="006E6121"/>
    <w:p w14:paraId="5B39F6C0" w14:textId="77777777" w:rsidR="00933BEB" w:rsidRDefault="00933BEB" w:rsidP="006E6121"/>
    <w:p w14:paraId="59BC1650" w14:textId="77777777" w:rsidR="00A30695" w:rsidRDefault="00A30695" w:rsidP="00377FBF"/>
    <w:p w14:paraId="1FB0F0DA" w14:textId="77777777" w:rsidR="00286E07" w:rsidRPr="00286E07" w:rsidRDefault="00286E07" w:rsidP="00286E07">
      <w:pPr>
        <w:sectPr w:rsidR="00286E07" w:rsidRPr="00286E07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6" w:name="_Toc535406768"/>
    </w:p>
    <w:p w14:paraId="6214A359" w14:textId="77777777" w:rsidR="00BA5BAC" w:rsidRPr="00E900B4" w:rsidRDefault="003940C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7" w:name="_Toc70332802"/>
      <w:bookmarkStart w:id="38" w:name="_Toc96602569"/>
      <w:r w:rsidRPr="00E900B4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E900B4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614ED7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2C5A18" w:rsidRPr="00E900B4">
        <w:rPr>
          <w:rFonts w:asciiTheme="minorHAnsi" w:hAnsiTheme="minorHAnsi" w:cstheme="minorHAnsi"/>
          <w:sz w:val="22"/>
          <w:szCs w:val="22"/>
        </w:rPr>
        <w:t xml:space="preserve">ZEMLJIŠNOKNJIŽNI ODJELI </w:t>
      </w:r>
      <w:bookmarkEnd w:id="36"/>
      <w:r w:rsidR="006B5C23" w:rsidRPr="00E900B4">
        <w:rPr>
          <w:rFonts w:asciiTheme="minorHAnsi" w:hAnsiTheme="minorHAnsi" w:cstheme="minorHAnsi"/>
          <w:sz w:val="22"/>
          <w:szCs w:val="22"/>
        </w:rPr>
        <w:t>PREM</w:t>
      </w:r>
      <w:r w:rsidR="00AF19E6" w:rsidRPr="00E900B4">
        <w:rPr>
          <w:rFonts w:asciiTheme="minorHAnsi" w:hAnsiTheme="minorHAnsi" w:cstheme="minorHAnsi"/>
          <w:sz w:val="22"/>
          <w:szCs w:val="22"/>
        </w:rPr>
        <w:t xml:space="preserve">A BROJU NERIJEŠENIH REDOVNIH </w:t>
      </w:r>
      <w:r w:rsidR="006B5C23" w:rsidRPr="00E900B4">
        <w:rPr>
          <w:rFonts w:asciiTheme="minorHAnsi" w:hAnsiTheme="minorHAnsi" w:cstheme="minorHAnsi"/>
          <w:sz w:val="22"/>
          <w:szCs w:val="22"/>
        </w:rPr>
        <w:t>PREDMETA</w:t>
      </w:r>
      <w:bookmarkEnd w:id="37"/>
      <w:bookmarkEnd w:id="38"/>
    </w:p>
    <w:p w14:paraId="4CCB8A76" w14:textId="77777777" w:rsidR="00DC3710" w:rsidRPr="00E900B4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BB7BF" w14:textId="77777777" w:rsidR="005A5565" w:rsidRPr="00E900B4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</w:t>
      </w:r>
      <w:r w:rsidR="0084554A" w:rsidRPr="00E900B4">
        <w:rPr>
          <w:rFonts w:asciiTheme="minorHAnsi" w:hAnsiTheme="minorHAnsi" w:cstheme="minorHAnsi"/>
          <w:sz w:val="22"/>
          <w:szCs w:val="22"/>
        </w:rPr>
        <w:t>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580290">
        <w:rPr>
          <w:rFonts w:asciiTheme="minorHAnsi" w:hAnsiTheme="minorHAnsi" w:cstheme="minorHAnsi"/>
          <w:sz w:val="22"/>
          <w:szCs w:val="22"/>
        </w:rPr>
        <w:t xml:space="preserve"> 2. </w:t>
      </w:r>
      <w:proofErr w:type="spellStart"/>
      <w:r w:rsidR="00D813B8">
        <w:rPr>
          <w:rFonts w:asciiTheme="minorHAnsi" w:hAnsiTheme="minorHAnsi" w:cstheme="minorHAnsi"/>
          <w:sz w:val="22"/>
          <w:szCs w:val="22"/>
        </w:rPr>
        <w:t>i</w:t>
      </w:r>
      <w:r w:rsidR="00291041">
        <w:rPr>
          <w:rFonts w:asciiTheme="minorHAnsi" w:hAnsiTheme="minorHAnsi" w:cstheme="minorHAnsi"/>
          <w:sz w:val="22"/>
          <w:szCs w:val="22"/>
        </w:rPr>
        <w:t>zdvojeno</w:t>
      </w:r>
      <w:proofErr w:type="spellEnd"/>
      <w:r w:rsidR="00291041">
        <w:rPr>
          <w:rFonts w:asciiTheme="minorHAnsi" w:hAnsiTheme="minorHAnsi" w:cstheme="minorHAnsi"/>
          <w:sz w:val="22"/>
          <w:szCs w:val="22"/>
        </w:rPr>
        <w:t xml:space="preserve"> je </w:t>
      </w:r>
      <w:r w:rsidR="00666453">
        <w:rPr>
          <w:rFonts w:asciiTheme="minorHAnsi" w:hAnsiTheme="minorHAnsi" w:cstheme="minorHAnsi"/>
          <w:sz w:val="22"/>
          <w:szCs w:val="22"/>
        </w:rPr>
        <w:t>18</w:t>
      </w:r>
      <w:r w:rsidR="0029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594" w:rsidRPr="00E900B4">
        <w:rPr>
          <w:rFonts w:asciiTheme="minorHAnsi" w:hAnsiTheme="minorHAnsi" w:cstheme="minorHAnsi"/>
          <w:sz w:val="22"/>
          <w:szCs w:val="22"/>
        </w:rPr>
        <w:t>zemljišnoknjižni</w:t>
      </w:r>
      <w:r w:rsidR="0029104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9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104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3E4E9D" w:rsidRPr="00E900B4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="003E4E9D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E4E9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E9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E4E9D" w:rsidRPr="00E900B4">
        <w:rPr>
          <w:rFonts w:asciiTheme="minorHAnsi" w:hAnsiTheme="minorHAnsi" w:cstheme="minorHAnsi"/>
          <w:sz w:val="22"/>
          <w:szCs w:val="22"/>
        </w:rPr>
        <w:t xml:space="preserve"> dan </w:t>
      </w:r>
      <w:r w:rsidR="00666453">
        <w:rPr>
          <w:rFonts w:asciiTheme="minorHAnsi" w:hAnsiTheme="minorHAnsi" w:cstheme="minorHAnsi"/>
          <w:sz w:val="22"/>
          <w:szCs w:val="22"/>
        </w:rPr>
        <w:t xml:space="preserve">30.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815DBC">
        <w:rPr>
          <w:rFonts w:asciiTheme="minorHAnsi" w:hAnsiTheme="minorHAnsi" w:cstheme="minorHAnsi"/>
          <w:sz w:val="22"/>
          <w:szCs w:val="22"/>
        </w:rPr>
        <w:t xml:space="preserve"> </w:t>
      </w:r>
      <w:r w:rsidR="002F7FD6">
        <w:rPr>
          <w:rFonts w:asciiTheme="minorHAnsi" w:hAnsiTheme="minorHAnsi" w:cstheme="minorHAnsi"/>
          <w:sz w:val="22"/>
          <w:szCs w:val="22"/>
        </w:rPr>
        <w:t>2022</w:t>
      </w:r>
      <w:r w:rsidR="005A556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A5565" w:rsidRPr="00E900B4">
        <w:rPr>
          <w:rFonts w:asciiTheme="minorHAnsi" w:hAnsiTheme="minorHAnsi" w:cstheme="minorHAnsi"/>
          <w:sz w:val="22"/>
          <w:szCs w:val="22"/>
        </w:rPr>
        <w:t>imali</w:t>
      </w:r>
      <w:proofErr w:type="spellEnd"/>
      <w:r w:rsidR="005A556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5565" w:rsidRPr="00E900B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5A5565" w:rsidRPr="00E900B4">
        <w:rPr>
          <w:rFonts w:asciiTheme="minorHAnsi" w:hAnsiTheme="minorHAnsi" w:cstheme="minorHAnsi"/>
          <w:sz w:val="22"/>
          <w:szCs w:val="22"/>
        </w:rPr>
        <w:t xml:space="preserve"> o</w:t>
      </w:r>
      <w:r w:rsidR="009C2B77" w:rsidRPr="00E900B4">
        <w:rPr>
          <w:rFonts w:asciiTheme="minorHAnsi" w:hAnsiTheme="minorHAnsi" w:cstheme="minorHAnsi"/>
          <w:sz w:val="22"/>
          <w:szCs w:val="22"/>
        </w:rPr>
        <w:t xml:space="preserve">d 1.000 </w:t>
      </w:r>
      <w:proofErr w:type="spellStart"/>
      <w:r w:rsidR="009C2B77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9C2B7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2B77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9C2B7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5565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5A5565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0614DCED" w14:textId="77777777" w:rsidR="00AC78CD" w:rsidRPr="00E900B4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C2EF6" w14:textId="77777777" w:rsidR="009C3CDA" w:rsidRPr="00E900B4" w:rsidRDefault="00D45C16" w:rsidP="009C3CD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9" w:name="_Toc505002661"/>
      <w:bookmarkStart w:id="40" w:name="_Toc505002743"/>
      <w:bookmarkStart w:id="41" w:name="_Toc70332770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8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Zemljišnoknjižni</w:t>
      </w:r>
      <w:proofErr w:type="spellEnd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odjeli</w:t>
      </w:r>
      <w:proofErr w:type="spellEnd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20B8" w:rsidRPr="00E900B4">
        <w:rPr>
          <w:rFonts w:asciiTheme="minorHAnsi" w:hAnsiTheme="minorHAnsi" w:cstheme="minorHAnsi"/>
          <w:b w:val="0"/>
          <w:sz w:val="22"/>
          <w:szCs w:val="22"/>
        </w:rPr>
        <w:t>s</w:t>
      </w:r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više</w:t>
      </w:r>
      <w:proofErr w:type="spellEnd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 xml:space="preserve"> od 1.000 </w:t>
      </w:r>
      <w:proofErr w:type="spellStart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neriješ</w:t>
      </w:r>
      <w:r w:rsidR="00B96ECB" w:rsidRPr="00E900B4">
        <w:rPr>
          <w:rFonts w:asciiTheme="minorHAnsi" w:hAnsiTheme="minorHAnsi" w:cstheme="minorHAnsi"/>
          <w:b w:val="0"/>
          <w:sz w:val="22"/>
          <w:szCs w:val="22"/>
        </w:rPr>
        <w:t>e</w:t>
      </w:r>
      <w:r w:rsidR="00F6587B" w:rsidRPr="00E900B4">
        <w:rPr>
          <w:rFonts w:asciiTheme="minorHAnsi" w:hAnsiTheme="minorHAnsi" w:cstheme="minorHAnsi"/>
          <w:b w:val="0"/>
          <w:sz w:val="22"/>
          <w:szCs w:val="22"/>
        </w:rPr>
        <w:t>nih</w:t>
      </w:r>
      <w:proofErr w:type="spellEnd"/>
      <w:r w:rsidR="00F6587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587B" w:rsidRPr="00E900B4">
        <w:rPr>
          <w:rFonts w:asciiTheme="minorHAnsi" w:hAnsiTheme="minorHAnsi" w:cstheme="minorHAnsi"/>
          <w:b w:val="0"/>
          <w:sz w:val="22"/>
          <w:szCs w:val="22"/>
        </w:rPr>
        <w:t>redovnih</w:t>
      </w:r>
      <w:proofErr w:type="spellEnd"/>
      <w:r w:rsidR="00F6587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A5565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bookmarkEnd w:id="39"/>
      <w:bookmarkEnd w:id="40"/>
      <w:bookmarkEnd w:id="41"/>
      <w:proofErr w:type="spellEnd"/>
    </w:p>
    <w:p w14:paraId="76527C6A" w14:textId="77777777" w:rsidR="009C3CDA" w:rsidRPr="00E900B4" w:rsidRDefault="009C3CDA" w:rsidP="009C3C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100" w:type="dxa"/>
        <w:tblInd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800"/>
      </w:tblGrid>
      <w:tr w:rsidR="004B7DD0" w:rsidRPr="004B7DD0" w14:paraId="27503EAB" w14:textId="77777777" w:rsidTr="00A45ECE">
        <w:trPr>
          <w:trHeight w:val="645"/>
        </w:trPr>
        <w:tc>
          <w:tcPr>
            <w:tcW w:w="2300" w:type="dxa"/>
            <w:shd w:val="clear" w:color="000000" w:fill="4472C4"/>
            <w:vAlign w:val="center"/>
            <w:hideMark/>
          </w:tcPr>
          <w:p w14:paraId="557BE1AC" w14:textId="77777777" w:rsidR="004B7DD0" w:rsidRPr="004B7DD0" w:rsidRDefault="004B7DD0" w:rsidP="004B7DD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4B7DD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Zemljišnoknjižni odjel</w:t>
            </w:r>
          </w:p>
        </w:tc>
        <w:tc>
          <w:tcPr>
            <w:tcW w:w="2800" w:type="dxa"/>
            <w:shd w:val="clear" w:color="000000" w:fill="4472C4"/>
            <w:vAlign w:val="center"/>
            <w:hideMark/>
          </w:tcPr>
          <w:p w14:paraId="0C8D645F" w14:textId="77777777" w:rsidR="004B7DD0" w:rsidRPr="004B7DD0" w:rsidRDefault="004B7DD0" w:rsidP="004B7DD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4B7DD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Neriješeni redovni predmeti na dan 3</w:t>
            </w:r>
            <w:r w:rsidR="009D335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0</w:t>
            </w:r>
            <w:r w:rsidR="002910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.</w:t>
            </w:r>
            <w:r w:rsidR="00786F0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9</w:t>
            </w:r>
            <w:r w:rsidR="002910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.2022</w:t>
            </w:r>
            <w:r w:rsidRPr="004B7DD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.</w:t>
            </w:r>
          </w:p>
        </w:tc>
      </w:tr>
      <w:tr w:rsidR="00022AB1" w:rsidRPr="004B7DD0" w14:paraId="4B38F925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  <w:hideMark/>
          </w:tcPr>
          <w:p w14:paraId="4C80FBC4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Zagreb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0B475949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4.871</w:t>
            </w:r>
          </w:p>
        </w:tc>
      </w:tr>
      <w:tr w:rsidR="00022AB1" w:rsidRPr="004B7DD0" w14:paraId="0596F0FD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  <w:hideMark/>
          </w:tcPr>
          <w:p w14:paraId="63BAE00C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Split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133223E0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4.119</w:t>
            </w:r>
          </w:p>
        </w:tc>
      </w:tr>
      <w:tr w:rsidR="00022AB1" w:rsidRPr="004B7DD0" w14:paraId="55570975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  <w:hideMark/>
          </w:tcPr>
          <w:p w14:paraId="0AA7DE9F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Rijeka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651442E4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2.519</w:t>
            </w:r>
          </w:p>
        </w:tc>
      </w:tr>
      <w:tr w:rsidR="00022AB1" w:rsidRPr="004B7DD0" w14:paraId="3DB3EA24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0712A52C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Supetar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71575063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2.451</w:t>
            </w:r>
          </w:p>
        </w:tc>
      </w:tr>
      <w:tr w:rsidR="00022AB1" w:rsidRPr="004B7DD0" w14:paraId="7EBFED2F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3A2A2A70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Zadar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7EAAEFD6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2.056</w:t>
            </w:r>
          </w:p>
        </w:tc>
      </w:tr>
      <w:tr w:rsidR="00022AB1" w:rsidRPr="004B7DD0" w14:paraId="1F538465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23FB1B70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Poreč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735858CC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2.001</w:t>
            </w:r>
          </w:p>
        </w:tc>
      </w:tr>
      <w:tr w:rsidR="00022AB1" w:rsidRPr="004B7DD0" w14:paraId="7240AF24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620ADAF3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Šibenik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557E8853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1.985</w:t>
            </w:r>
          </w:p>
        </w:tc>
      </w:tr>
      <w:tr w:rsidR="00022AB1" w:rsidRPr="004B7DD0" w14:paraId="3B853DDB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368BF3DC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Gospić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32171B76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1.941</w:t>
            </w:r>
          </w:p>
        </w:tc>
      </w:tr>
      <w:tr w:rsidR="00022AB1" w:rsidRPr="004B7DD0" w14:paraId="00A44430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01A2D90C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Pag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5F6D56B5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1.898</w:t>
            </w:r>
          </w:p>
        </w:tc>
      </w:tr>
      <w:tr w:rsidR="00022AB1" w:rsidRPr="004B7DD0" w14:paraId="2943085F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38D889A1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Krk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6624B510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1.642</w:t>
            </w:r>
          </w:p>
        </w:tc>
      </w:tr>
      <w:tr w:rsidR="00022AB1" w:rsidRPr="004B7DD0" w14:paraId="2E57FBC0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0BA4EB06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Trogir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50D8F5BC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1.376</w:t>
            </w:r>
          </w:p>
        </w:tc>
      </w:tr>
      <w:tr w:rsidR="00022AB1" w:rsidRPr="004B7DD0" w14:paraId="14021878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0061AF0C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Karlovac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3E851EF9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1.275</w:t>
            </w:r>
          </w:p>
        </w:tc>
      </w:tr>
      <w:tr w:rsidR="00022AB1" w:rsidRPr="004B7DD0" w14:paraId="71E47E31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2F716592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bookmarkStart w:id="42" w:name="_Hlk109220702"/>
            <w:proofErr w:type="spellStart"/>
            <w:r w:rsidRPr="00022AB1">
              <w:rPr>
                <w:rFonts w:asciiTheme="minorHAnsi" w:hAnsiTheme="minorHAnsi" w:cstheme="minorHAnsi"/>
              </w:rPr>
              <w:t>Buje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2C5271CD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1.248</w:t>
            </w:r>
          </w:p>
        </w:tc>
      </w:tr>
      <w:tr w:rsidR="00022AB1" w:rsidRPr="004B7DD0" w14:paraId="09485E8B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65CA0AE5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Kaštel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Pr="00022AB1">
              <w:rPr>
                <w:rFonts w:asciiTheme="minorHAnsi" w:hAnsiTheme="minorHAnsi" w:cstheme="minorHAnsi"/>
              </w:rPr>
              <w:t>ukšić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1310DF04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1.239</w:t>
            </w:r>
          </w:p>
        </w:tc>
      </w:tr>
      <w:tr w:rsidR="00022AB1" w:rsidRPr="004B7DD0" w14:paraId="0F53D2CB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385FB5EA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Vinkovci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4AD2AD6C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1.169</w:t>
            </w:r>
          </w:p>
        </w:tc>
      </w:tr>
      <w:tr w:rsidR="00022AB1" w:rsidRPr="004B7DD0" w14:paraId="4448949B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1DCA5EF6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Dubrovnik</w:t>
            </w:r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77A9B318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1.037</w:t>
            </w:r>
          </w:p>
        </w:tc>
      </w:tr>
      <w:tr w:rsidR="00022AB1" w:rsidRPr="004B7DD0" w14:paraId="56096C97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2F79E5F0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Makarska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7276E3AE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1.034</w:t>
            </w:r>
          </w:p>
        </w:tc>
      </w:tr>
      <w:tr w:rsidR="00022AB1" w:rsidRPr="004B7DD0" w14:paraId="537F78DC" w14:textId="77777777" w:rsidTr="009043C0">
        <w:trPr>
          <w:trHeight w:val="315"/>
        </w:trPr>
        <w:tc>
          <w:tcPr>
            <w:tcW w:w="2300" w:type="dxa"/>
            <w:shd w:val="clear" w:color="auto" w:fill="B8CCE4" w:themeFill="accent1" w:themeFillTint="66"/>
            <w:noWrap/>
          </w:tcPr>
          <w:p w14:paraId="4297C9BA" w14:textId="77777777" w:rsidR="00022AB1" w:rsidRPr="00022AB1" w:rsidRDefault="00022AB1" w:rsidP="00022AB1">
            <w:pPr>
              <w:rPr>
                <w:rFonts w:asciiTheme="minorHAnsi" w:hAnsiTheme="minorHAnsi" w:cstheme="minorHAnsi"/>
              </w:rPr>
            </w:pPr>
            <w:proofErr w:type="spellStart"/>
            <w:r w:rsidRPr="00022AB1">
              <w:rPr>
                <w:rFonts w:asciiTheme="minorHAnsi" w:hAnsiTheme="minorHAnsi" w:cstheme="minorHAnsi"/>
              </w:rPr>
              <w:t>Opatija</w:t>
            </w:r>
            <w:proofErr w:type="spellEnd"/>
          </w:p>
        </w:tc>
        <w:tc>
          <w:tcPr>
            <w:tcW w:w="2800" w:type="dxa"/>
            <w:shd w:val="clear" w:color="auto" w:fill="B8CCE4" w:themeFill="accent1" w:themeFillTint="66"/>
            <w:noWrap/>
          </w:tcPr>
          <w:p w14:paraId="5422BB7C" w14:textId="77777777" w:rsidR="00022AB1" w:rsidRPr="00022AB1" w:rsidRDefault="00022AB1" w:rsidP="00022AB1">
            <w:pPr>
              <w:jc w:val="center"/>
              <w:rPr>
                <w:rFonts w:asciiTheme="minorHAnsi" w:hAnsiTheme="minorHAnsi" w:cstheme="minorHAnsi"/>
              </w:rPr>
            </w:pPr>
            <w:r w:rsidRPr="00022AB1">
              <w:rPr>
                <w:rFonts w:asciiTheme="minorHAnsi" w:hAnsiTheme="minorHAnsi" w:cstheme="minorHAnsi"/>
              </w:rPr>
              <w:t>1.013</w:t>
            </w:r>
          </w:p>
        </w:tc>
      </w:tr>
    </w:tbl>
    <w:bookmarkEnd w:id="42"/>
    <w:p w14:paraId="5C4C7094" w14:textId="77777777" w:rsidR="001E16BF" w:rsidRPr="00E900B4" w:rsidRDefault="00CE75F9" w:rsidP="009C3C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87C3BD" w14:textId="77777777" w:rsidR="0058445C" w:rsidRDefault="0058445C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D3208" w14:textId="77777777" w:rsidR="007B46EF" w:rsidRPr="007620D4" w:rsidRDefault="00CB16FD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 w:rsidRPr="007620D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7620D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620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620D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7620D4">
        <w:rPr>
          <w:rFonts w:asciiTheme="minorHAnsi" w:hAnsiTheme="minorHAnsi" w:cstheme="minorHAnsi"/>
          <w:sz w:val="22"/>
          <w:szCs w:val="22"/>
        </w:rPr>
        <w:t xml:space="preserve"> u</w:t>
      </w:r>
      <w:r w:rsidR="00704D0D" w:rsidRPr="007620D4">
        <w:rPr>
          <w:rFonts w:asciiTheme="minorHAnsi" w:hAnsiTheme="minorHAnsi" w:cstheme="minorHAnsi"/>
          <w:sz w:val="22"/>
          <w:szCs w:val="22"/>
        </w:rPr>
        <w:t xml:space="preserve"> I</w:t>
      </w:r>
      <w:r w:rsidR="00666453">
        <w:rPr>
          <w:rFonts w:asciiTheme="minorHAnsi" w:hAnsiTheme="minorHAnsi" w:cstheme="minorHAnsi"/>
          <w:sz w:val="22"/>
          <w:szCs w:val="22"/>
        </w:rPr>
        <w:t>I</w:t>
      </w:r>
      <w:r w:rsidR="0027619D" w:rsidRPr="007620D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97D18" w:rsidRPr="007620D4">
        <w:rPr>
          <w:rFonts w:asciiTheme="minorHAnsi" w:hAnsiTheme="minorHAnsi" w:cstheme="minorHAnsi"/>
          <w:sz w:val="22"/>
          <w:szCs w:val="22"/>
        </w:rPr>
        <w:t>k</w:t>
      </w:r>
      <w:r w:rsidRPr="007620D4">
        <w:rPr>
          <w:rFonts w:asciiTheme="minorHAnsi" w:hAnsiTheme="minorHAnsi" w:cstheme="minorHAnsi"/>
          <w:sz w:val="22"/>
          <w:szCs w:val="22"/>
        </w:rPr>
        <w:t>vartalu</w:t>
      </w:r>
      <w:proofErr w:type="spellEnd"/>
      <w:r w:rsidR="00CE75F9">
        <w:rPr>
          <w:rFonts w:asciiTheme="minorHAnsi" w:hAnsiTheme="minorHAnsi" w:cstheme="minorHAnsi"/>
          <w:sz w:val="22"/>
          <w:szCs w:val="22"/>
        </w:rPr>
        <w:t xml:space="preserve"> 2022</w:t>
      </w:r>
      <w:r w:rsidR="00EF03C1" w:rsidRPr="007620D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290" w:rsidRPr="007620D4">
        <w:rPr>
          <w:rFonts w:asciiTheme="minorHAnsi" w:hAnsiTheme="minorHAnsi" w:cstheme="minorHAnsi"/>
          <w:sz w:val="22"/>
          <w:szCs w:val="22"/>
        </w:rPr>
        <w:t>b</w:t>
      </w:r>
      <w:r w:rsidR="0027619D" w:rsidRPr="007620D4">
        <w:rPr>
          <w:rFonts w:asciiTheme="minorHAnsi" w:hAnsiTheme="minorHAnsi" w:cstheme="minorHAnsi"/>
          <w:sz w:val="22"/>
          <w:szCs w:val="22"/>
        </w:rPr>
        <w:t>ilo</w:t>
      </w:r>
      <w:proofErr w:type="spellEnd"/>
      <w:r w:rsidRPr="007620D4">
        <w:rPr>
          <w:rFonts w:asciiTheme="minorHAnsi" w:hAnsiTheme="minorHAnsi" w:cstheme="minorHAnsi"/>
          <w:sz w:val="22"/>
          <w:szCs w:val="22"/>
        </w:rPr>
        <w:t xml:space="preserve"> je </w:t>
      </w:r>
      <w:r w:rsidR="00666453">
        <w:rPr>
          <w:rFonts w:asciiTheme="minorHAnsi" w:hAnsiTheme="minorHAnsi" w:cstheme="minorHAnsi"/>
          <w:sz w:val="22"/>
          <w:szCs w:val="22"/>
        </w:rPr>
        <w:t>14</w:t>
      </w:r>
      <w:r w:rsidR="007A74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imali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27619D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619D" w:rsidRPr="007620D4">
        <w:rPr>
          <w:rFonts w:asciiTheme="minorHAnsi" w:hAnsiTheme="minorHAnsi" w:cstheme="minorHAnsi"/>
          <w:sz w:val="22"/>
          <w:szCs w:val="22"/>
        </w:rPr>
        <w:t>redovni</w:t>
      </w:r>
      <w:r w:rsidR="00704D0D" w:rsidRPr="007620D4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704D0D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4D0D" w:rsidRPr="007620D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04D0D" w:rsidRPr="007620D4">
        <w:rPr>
          <w:rFonts w:asciiTheme="minorHAnsi" w:hAnsiTheme="minorHAnsi" w:cstheme="minorHAnsi"/>
          <w:sz w:val="22"/>
          <w:szCs w:val="22"/>
        </w:rPr>
        <w:t>.</w:t>
      </w:r>
      <w:r w:rsidR="006D1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1EDA">
        <w:rPr>
          <w:rFonts w:asciiTheme="minorHAnsi" w:hAnsiTheme="minorHAnsi" w:cstheme="minorHAnsi"/>
          <w:sz w:val="22"/>
          <w:szCs w:val="22"/>
        </w:rPr>
        <w:t>Zeml</w:t>
      </w:r>
      <w:r w:rsidR="00666453">
        <w:rPr>
          <w:rFonts w:asciiTheme="minorHAnsi" w:hAnsiTheme="minorHAnsi" w:cstheme="minorHAnsi"/>
          <w:sz w:val="22"/>
          <w:szCs w:val="22"/>
        </w:rPr>
        <w:t>jišnoknjižni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odjel</w:t>
      </w:r>
      <w:r w:rsidR="0058445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Dubrovniku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Makarskoj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Opatiji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Gospiću</w:t>
      </w:r>
      <w:proofErr w:type="spellEnd"/>
      <w:r w:rsidR="00666453">
        <w:rPr>
          <w:rFonts w:asciiTheme="minorHAnsi" w:hAnsiTheme="minorHAnsi" w:cstheme="minorHAnsi"/>
          <w:sz w:val="22"/>
          <w:szCs w:val="22"/>
        </w:rPr>
        <w:t xml:space="preserve"> </w:t>
      </w:r>
      <w:r w:rsidR="00EF03C1" w:rsidRPr="007620D4">
        <w:rPr>
          <w:rFonts w:asciiTheme="minorHAnsi" w:hAnsiTheme="minorHAnsi" w:cstheme="minorHAnsi"/>
          <w:sz w:val="22"/>
          <w:szCs w:val="22"/>
        </w:rPr>
        <w:t xml:space="preserve">u </w:t>
      </w:r>
      <w:r w:rsidR="007620D4" w:rsidRPr="007620D4">
        <w:rPr>
          <w:rFonts w:asciiTheme="minorHAnsi" w:hAnsiTheme="minorHAnsi" w:cstheme="minorHAnsi"/>
          <w:sz w:val="22"/>
          <w:szCs w:val="22"/>
        </w:rPr>
        <w:t>I</w:t>
      </w:r>
      <w:r w:rsidR="00666453">
        <w:rPr>
          <w:rFonts w:asciiTheme="minorHAnsi" w:hAnsiTheme="minorHAnsi" w:cstheme="minorHAnsi"/>
          <w:sz w:val="22"/>
          <w:szCs w:val="22"/>
        </w:rPr>
        <w:t>II.</w:t>
      </w:r>
      <w:r w:rsidR="00C050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506B">
        <w:rPr>
          <w:rFonts w:asciiTheme="minorHAnsi" w:hAnsiTheme="minorHAnsi" w:cstheme="minorHAnsi"/>
          <w:sz w:val="22"/>
          <w:szCs w:val="22"/>
        </w:rPr>
        <w:t>kva</w:t>
      </w:r>
      <w:r w:rsidR="006D1EDA">
        <w:rPr>
          <w:rFonts w:asciiTheme="minorHAnsi" w:hAnsiTheme="minorHAnsi" w:cstheme="minorHAnsi"/>
          <w:sz w:val="22"/>
          <w:szCs w:val="22"/>
        </w:rPr>
        <w:t>rtalu</w:t>
      </w:r>
      <w:proofErr w:type="spellEnd"/>
      <w:r w:rsidR="006D1EDA">
        <w:rPr>
          <w:rFonts w:asciiTheme="minorHAnsi" w:hAnsiTheme="minorHAnsi" w:cstheme="minorHAnsi"/>
          <w:sz w:val="22"/>
          <w:szCs w:val="22"/>
        </w:rPr>
        <w:t xml:space="preserve"> 2022</w:t>
      </w:r>
      <w:r w:rsidR="00134888" w:rsidRPr="007620D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721BE" w:rsidRPr="007620D4">
        <w:rPr>
          <w:rFonts w:asciiTheme="minorHAnsi" w:hAnsiTheme="minorHAnsi" w:cstheme="minorHAnsi"/>
          <w:sz w:val="22"/>
          <w:szCs w:val="22"/>
        </w:rPr>
        <w:t>i</w:t>
      </w:r>
      <w:r w:rsidR="006D1EDA">
        <w:rPr>
          <w:rFonts w:asciiTheme="minorHAnsi" w:hAnsiTheme="minorHAnsi" w:cstheme="minorHAnsi"/>
          <w:sz w:val="22"/>
          <w:szCs w:val="22"/>
        </w:rPr>
        <w:t>ma</w:t>
      </w:r>
      <w:r w:rsidR="00666453">
        <w:rPr>
          <w:rFonts w:asciiTheme="minorHAnsi" w:hAnsiTheme="minorHAnsi" w:cstheme="minorHAnsi"/>
          <w:sz w:val="22"/>
          <w:szCs w:val="22"/>
        </w:rPr>
        <w:t>ju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888" w:rsidRPr="007620D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od 1.000</w:t>
      </w:r>
      <w:r w:rsidR="008D7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4969" w:rsidRPr="007620D4">
        <w:rPr>
          <w:rFonts w:asciiTheme="minorHAnsi" w:hAnsiTheme="minorHAnsi" w:cstheme="minorHAnsi"/>
          <w:sz w:val="22"/>
          <w:szCs w:val="22"/>
        </w:rPr>
        <w:t>b</w:t>
      </w:r>
      <w:r w:rsidR="00666453">
        <w:rPr>
          <w:rFonts w:asciiTheme="minorHAnsi" w:hAnsiTheme="minorHAnsi" w:cstheme="minorHAnsi"/>
          <w:sz w:val="22"/>
          <w:szCs w:val="22"/>
        </w:rPr>
        <w:t>ilježe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negativan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trend u </w:t>
      </w:r>
      <w:proofErr w:type="spellStart"/>
      <w:r w:rsidR="00666453">
        <w:rPr>
          <w:rFonts w:asciiTheme="minorHAnsi" w:hAnsiTheme="minorHAnsi" w:cstheme="minorHAnsi"/>
          <w:sz w:val="22"/>
          <w:szCs w:val="22"/>
        </w:rPr>
        <w:t>povećanju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888" w:rsidRPr="007620D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888" w:rsidRPr="007620D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888" w:rsidRPr="007620D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888" w:rsidRPr="007620D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34888" w:rsidRPr="007620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2526DC" w14:textId="77777777" w:rsidR="00B37EE4" w:rsidRPr="00E900B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0AA79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43" w:name="_Toc70333483"/>
    </w:p>
    <w:p w14:paraId="0FA8DB05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BE71A6B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BED5F46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C6CE98D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48C05C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7083FE5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288100E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8DCB715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668A434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770373B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703B231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3D7E0E3" w14:textId="77777777" w:rsidR="00F40D0D" w:rsidRDefault="00F40D0D" w:rsidP="00F40D0D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BDB2B32" w14:textId="77777777" w:rsidR="004F26A5" w:rsidRPr="00E900B4" w:rsidRDefault="00A118E7" w:rsidP="00F40D0D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3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Usporedni</w:t>
      </w:r>
      <w:proofErr w:type="spellEnd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 xml:space="preserve"> s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više</w:t>
      </w:r>
      <w:proofErr w:type="spellEnd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 xml:space="preserve"> od 1.000 </w:t>
      </w:r>
      <w:proofErr w:type="spellStart"/>
      <w:r w:rsidR="004F26A5" w:rsidRPr="00E900B4">
        <w:rPr>
          <w:rFonts w:asciiTheme="minorHAnsi" w:hAnsiTheme="minorHAnsi" w:cstheme="minorHAnsi"/>
          <w:b w:val="0"/>
          <w:sz w:val="22"/>
          <w:szCs w:val="22"/>
        </w:rPr>
        <w:t>neriješenih</w:t>
      </w:r>
      <w:bookmarkEnd w:id="43"/>
      <w:proofErr w:type="spellEnd"/>
    </w:p>
    <w:p w14:paraId="021508FD" w14:textId="77777777" w:rsidR="004F26A5" w:rsidRDefault="004F26A5" w:rsidP="004F26A5">
      <w:pPr>
        <w:pStyle w:val="Opisslike"/>
        <w:keepNext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 xml:space="preserve"> I</w:t>
      </w:r>
      <w:r w:rsidR="005F7634">
        <w:rPr>
          <w:rFonts w:asciiTheme="minorHAnsi" w:hAnsiTheme="minorHAnsi" w:cstheme="minorHAnsi"/>
          <w:b w:val="0"/>
          <w:sz w:val="22"/>
          <w:szCs w:val="22"/>
        </w:rPr>
        <w:t>I</w:t>
      </w:r>
      <w:r w:rsidR="006D1EDA">
        <w:rPr>
          <w:rFonts w:asciiTheme="minorHAnsi" w:hAnsiTheme="minorHAnsi" w:cstheme="minorHAnsi"/>
          <w:b w:val="0"/>
          <w:sz w:val="22"/>
          <w:szCs w:val="22"/>
        </w:rPr>
        <w:t>I</w:t>
      </w:r>
      <w:r w:rsidR="00C050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050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C0506B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>. u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A1143">
        <w:rPr>
          <w:rFonts w:asciiTheme="minorHAnsi" w:hAnsiTheme="minorHAnsi" w:cstheme="minorHAnsi"/>
          <w:b w:val="0"/>
          <w:sz w:val="22"/>
          <w:szCs w:val="22"/>
        </w:rPr>
        <w:t>I</w:t>
      </w:r>
      <w:r w:rsidR="005F7634">
        <w:rPr>
          <w:rFonts w:asciiTheme="minorHAnsi" w:hAnsiTheme="minorHAnsi" w:cstheme="minorHAnsi"/>
          <w:b w:val="0"/>
          <w:sz w:val="22"/>
          <w:szCs w:val="22"/>
        </w:rPr>
        <w:t>I</w:t>
      </w:r>
      <w:r w:rsidR="00170553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r w:rsidR="006D1ED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D1EDA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6D1EDA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88215F"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7C0693FE" w14:textId="77777777" w:rsidR="00C972AF" w:rsidRDefault="00C972AF" w:rsidP="00A45ECE">
      <w:pPr>
        <w:spacing w:line="240" w:lineRule="exact"/>
        <w:ind w:left="851" w:hanging="142"/>
        <w:rPr>
          <w:noProof/>
        </w:rPr>
      </w:pPr>
    </w:p>
    <w:p w14:paraId="23687F6C" w14:textId="77777777" w:rsidR="00F40D0D" w:rsidRDefault="00E1256C" w:rsidP="00130AE1">
      <w:pPr>
        <w:ind w:left="851" w:hanging="142"/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03FE2E9" wp14:editId="2DF0A46A">
            <wp:simplePos x="0" y="0"/>
            <wp:positionH relativeFrom="column">
              <wp:posOffset>450215</wp:posOffset>
            </wp:positionH>
            <wp:positionV relativeFrom="paragraph">
              <wp:posOffset>-3175</wp:posOffset>
            </wp:positionV>
            <wp:extent cx="5486400" cy="3200400"/>
            <wp:effectExtent l="0" t="0" r="0" b="0"/>
            <wp:wrapTopAndBottom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7AED1E49" w14:textId="77777777" w:rsidR="00F40D0D" w:rsidRDefault="00F40D0D" w:rsidP="00C972AF">
      <w:pPr>
        <w:ind w:left="851" w:hanging="142"/>
        <w:rPr>
          <w:noProof/>
        </w:rPr>
      </w:pPr>
    </w:p>
    <w:p w14:paraId="75AFBE5E" w14:textId="77777777" w:rsidR="00E328E5" w:rsidRPr="006D7446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44" w:name="_Toc505002668"/>
      <w:bookmarkStart w:id="45" w:name="_Toc505002754"/>
      <w:bookmarkStart w:id="46" w:name="_Toc535406769"/>
      <w:bookmarkStart w:id="47" w:name="_Toc70332803"/>
      <w:bookmarkStart w:id="48" w:name="_Toc96602570"/>
      <w:r w:rsidRPr="00C972AF">
        <w:rPr>
          <w:rFonts w:asciiTheme="minorHAnsi" w:hAnsiTheme="minorHAnsi" w:cstheme="minorHAnsi"/>
          <w:sz w:val="22"/>
          <w:szCs w:val="22"/>
        </w:rPr>
        <w:t>V</w:t>
      </w:r>
      <w:r w:rsidR="000B08A0" w:rsidRPr="00C972AF">
        <w:rPr>
          <w:rFonts w:asciiTheme="minorHAnsi" w:hAnsiTheme="minorHAnsi" w:cstheme="minorHAnsi"/>
          <w:sz w:val="22"/>
          <w:szCs w:val="22"/>
        </w:rPr>
        <w:t>I</w:t>
      </w:r>
      <w:r w:rsidR="00FA078B" w:rsidRPr="00C972AF">
        <w:rPr>
          <w:rFonts w:asciiTheme="minorHAnsi" w:hAnsiTheme="minorHAnsi" w:cstheme="minorHAnsi"/>
          <w:sz w:val="22"/>
          <w:szCs w:val="22"/>
        </w:rPr>
        <w:t>II</w:t>
      </w:r>
      <w:r w:rsidR="009C2789" w:rsidRPr="00C972AF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C972AF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44"/>
      <w:bookmarkEnd w:id="45"/>
      <w:bookmarkEnd w:id="46"/>
      <w:bookmarkEnd w:id="47"/>
      <w:bookmarkEnd w:id="48"/>
      <w:r w:rsidR="00E328E5" w:rsidRPr="00C972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27130F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60130A7A" w14:textId="77777777" w:rsidR="00904B61" w:rsidRPr="00C7486A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r w:rsidR="00A03D3C" w:rsidRPr="00C7486A">
        <w:rPr>
          <w:rFonts w:asciiTheme="minorHAnsi" w:hAnsiTheme="minorHAnsi" w:cstheme="minorHAnsi"/>
          <w:sz w:val="22"/>
          <w:szCs w:val="22"/>
        </w:rPr>
        <w:t>I</w:t>
      </w:r>
      <w:r w:rsidR="0008438E">
        <w:rPr>
          <w:rFonts w:asciiTheme="minorHAnsi" w:hAnsiTheme="minorHAnsi" w:cstheme="minorHAnsi"/>
          <w:sz w:val="22"/>
          <w:szCs w:val="22"/>
        </w:rPr>
        <w:t>I</w:t>
      </w:r>
      <w:r w:rsidR="00232E72">
        <w:rPr>
          <w:rFonts w:asciiTheme="minorHAnsi" w:hAnsiTheme="minorHAnsi" w:cstheme="minorHAnsi"/>
          <w:sz w:val="22"/>
          <w:szCs w:val="22"/>
        </w:rPr>
        <w:t>I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03D3C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03D3C" w:rsidRPr="00C7486A">
        <w:rPr>
          <w:rFonts w:asciiTheme="minorHAnsi" w:hAnsiTheme="minorHAnsi" w:cstheme="minorHAnsi"/>
          <w:sz w:val="22"/>
          <w:szCs w:val="22"/>
        </w:rPr>
        <w:t xml:space="preserve"> 202</w:t>
      </w:r>
      <w:r w:rsidR="00066B69">
        <w:rPr>
          <w:rFonts w:asciiTheme="minorHAnsi" w:hAnsiTheme="minorHAnsi" w:cstheme="minorHAnsi"/>
          <w:sz w:val="22"/>
          <w:szCs w:val="22"/>
        </w:rPr>
        <w:t>2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zaprimljen</w:t>
      </w:r>
      <w:r w:rsidR="00232E7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1352E7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232E72">
        <w:rPr>
          <w:rFonts w:asciiTheme="minorHAnsi" w:hAnsiTheme="minorHAnsi" w:cstheme="minorHAnsi"/>
          <w:sz w:val="22"/>
          <w:szCs w:val="22"/>
        </w:rPr>
        <w:t xml:space="preserve">932 </w:t>
      </w:r>
      <w:proofErr w:type="spellStart"/>
      <w:r w:rsidR="00C7486A" w:rsidRPr="00C7486A">
        <w:rPr>
          <w:rFonts w:asciiTheme="minorHAnsi" w:hAnsiTheme="minorHAnsi" w:cstheme="minorHAnsi"/>
          <w:sz w:val="22"/>
          <w:szCs w:val="22"/>
        </w:rPr>
        <w:t>prigovor</w:t>
      </w:r>
      <w:r w:rsidR="00232E7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261ED" w:rsidRPr="00C7486A">
        <w:rPr>
          <w:rFonts w:asciiTheme="minorHAnsi" w:hAnsiTheme="minorHAnsi" w:cstheme="minorHAnsi"/>
          <w:sz w:val="22"/>
          <w:szCs w:val="22"/>
        </w:rPr>
        <w:t>,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232E72">
        <w:rPr>
          <w:rFonts w:asciiTheme="minorHAnsi" w:hAnsiTheme="minorHAnsi" w:cstheme="minorHAnsi"/>
          <w:sz w:val="22"/>
          <w:szCs w:val="22"/>
        </w:rPr>
        <w:t>316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2F28" w:rsidRPr="00C7486A">
        <w:rPr>
          <w:rFonts w:asciiTheme="minorHAnsi" w:hAnsiTheme="minorHAnsi" w:cstheme="minorHAnsi"/>
          <w:sz w:val="22"/>
          <w:szCs w:val="22"/>
        </w:rPr>
        <w:t>žalb</w:t>
      </w:r>
      <w:r w:rsidR="00232E7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15024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232E72">
        <w:rPr>
          <w:rFonts w:asciiTheme="minorHAnsi" w:hAnsiTheme="minorHAnsi" w:cstheme="minorHAnsi"/>
          <w:sz w:val="22"/>
          <w:szCs w:val="22"/>
        </w:rPr>
        <w:t>3.933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prijedlog</w:t>
      </w:r>
      <w:r w:rsidR="00BF01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52E7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</w:t>
      </w:r>
      <w:r w:rsidR="00066B69">
        <w:rPr>
          <w:rFonts w:asciiTheme="minorHAnsi" w:hAnsiTheme="minorHAnsi" w:cstheme="minorHAnsi"/>
          <w:sz w:val="22"/>
          <w:szCs w:val="22"/>
        </w:rPr>
        <w:t>jedinačnih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232E72">
        <w:rPr>
          <w:rFonts w:asciiTheme="minorHAnsi" w:hAnsiTheme="minorHAnsi" w:cstheme="minorHAnsi"/>
          <w:sz w:val="22"/>
          <w:szCs w:val="22"/>
        </w:rPr>
        <w:t>510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232E72">
        <w:rPr>
          <w:rFonts w:asciiTheme="minorHAnsi" w:hAnsiTheme="minorHAnsi" w:cstheme="minorHAnsi"/>
          <w:sz w:val="22"/>
          <w:szCs w:val="22"/>
        </w:rPr>
        <w:t>132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0F34" w:rsidRPr="00C7486A">
        <w:rPr>
          <w:rFonts w:asciiTheme="minorHAnsi" w:hAnsiTheme="minorHAnsi" w:cstheme="minorHAnsi"/>
          <w:sz w:val="22"/>
          <w:szCs w:val="22"/>
        </w:rPr>
        <w:t>prijedlog</w:t>
      </w:r>
      <w:r w:rsidR="00232E7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C7486A">
        <w:rPr>
          <w:rFonts w:asciiTheme="minorHAnsi" w:hAnsiTheme="minorHAnsi" w:cstheme="minorHAnsi"/>
          <w:sz w:val="22"/>
          <w:szCs w:val="22"/>
        </w:rPr>
        <w:t>za</w:t>
      </w:r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232E72">
        <w:rPr>
          <w:rFonts w:asciiTheme="minorHAnsi" w:hAnsiTheme="minorHAnsi" w:cstheme="minorHAnsi"/>
          <w:sz w:val="22"/>
          <w:szCs w:val="22"/>
        </w:rPr>
        <w:t>179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r w:rsidR="008412D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r w:rsidR="00232E72">
        <w:rPr>
          <w:rFonts w:asciiTheme="minorHAnsi" w:hAnsiTheme="minorHAnsi" w:cstheme="minorHAnsi"/>
          <w:sz w:val="22"/>
          <w:szCs w:val="22"/>
        </w:rPr>
        <w:t>1.045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ostali</w:t>
      </w:r>
      <w:r w:rsidR="00BF0175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posebni</w:t>
      </w:r>
      <w:r w:rsidR="00BF0175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</w:t>
      </w:r>
      <w:r w:rsidR="00BF01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585D70A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9" w:name="_Toc505002669"/>
      <w:bookmarkStart w:id="50" w:name="_Toc505002755"/>
    </w:p>
    <w:p w14:paraId="0A9789FB" w14:textId="77777777" w:rsidR="003D3505" w:rsidRPr="00E900B4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1" w:name="_Toc70332771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9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9"/>
      <w:bookmarkEnd w:id="50"/>
      <w:r w:rsidR="0008438E">
        <w:rPr>
          <w:rFonts w:asciiTheme="minorHAnsi" w:hAnsiTheme="minorHAnsi" w:cstheme="minorHAnsi"/>
          <w:b w:val="0"/>
          <w:sz w:val="22"/>
          <w:szCs w:val="22"/>
        </w:rPr>
        <w:t>I</w:t>
      </w:r>
      <w:r w:rsidR="007F3774">
        <w:rPr>
          <w:rFonts w:asciiTheme="minorHAnsi" w:hAnsiTheme="minorHAnsi" w:cstheme="minorHAnsi"/>
          <w:b w:val="0"/>
          <w:sz w:val="22"/>
          <w:szCs w:val="22"/>
        </w:rPr>
        <w:t>I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1"/>
    </w:p>
    <w:p w14:paraId="72951282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134"/>
        <w:gridCol w:w="1169"/>
        <w:gridCol w:w="1276"/>
        <w:gridCol w:w="1264"/>
        <w:gridCol w:w="1253"/>
      </w:tblGrid>
      <w:tr w:rsidR="004F79FC" w:rsidRPr="00E900B4" w14:paraId="2266E0F3" w14:textId="77777777" w:rsidTr="00066B69">
        <w:trPr>
          <w:trHeight w:val="1206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BF40B7F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C69F428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7C88762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72FEA72B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2E602464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u pojedinačnom ispravnom postupku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</w:tcPr>
          <w:p w14:paraId="3960EF43" w14:textId="77777777" w:rsidR="004F79FC" w:rsidRPr="00DA737C" w:rsidRDefault="004F79FC" w:rsidP="003D35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56C7BC7F" w14:textId="77777777" w:rsidR="004F79FC" w:rsidRDefault="004F79FC" w:rsidP="004F79FC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47974833" w14:textId="77777777" w:rsidR="004F79FC" w:rsidRDefault="004F79FC" w:rsidP="004F79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 u postupku povezivanja ZK i KPU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11B9B43B" w14:textId="77777777" w:rsidR="004F79FC" w:rsidRDefault="004F79FC" w:rsidP="004F79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1C43FDE6" w14:textId="77777777" w:rsidR="004F79FC" w:rsidRDefault="004F79FC" w:rsidP="004F79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77701873" w14:textId="77777777" w:rsidR="004F79FC" w:rsidRDefault="004F79FC" w:rsidP="004F79F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Ostali posebni postupci</w:t>
            </w:r>
          </w:p>
        </w:tc>
      </w:tr>
      <w:tr w:rsidR="003617F1" w:rsidRPr="00E900B4" w14:paraId="07D33205" w14:textId="77777777" w:rsidTr="007F3774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FD096C7" w14:textId="77777777" w:rsidR="003617F1" w:rsidRPr="00140988" w:rsidRDefault="003617F1" w:rsidP="003617F1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353B97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53BEDE3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7221C19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</w:t>
            </w:r>
            <w:r w:rsidR="00232E72">
              <w:rPr>
                <w:rFonts w:asciiTheme="minorHAnsi" w:hAnsiTheme="minorHAnsi" w:cstheme="minorHAnsi"/>
                <w:sz w:val="20"/>
              </w:rPr>
              <w:t>.</w:t>
            </w:r>
            <w:r w:rsidRPr="007F3774">
              <w:rPr>
                <w:rFonts w:asciiTheme="minorHAnsi" w:hAnsiTheme="minorHAnsi" w:cstheme="minorHAnsi"/>
                <w:sz w:val="20"/>
              </w:rPr>
              <w:t>395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29C9DA9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1D59272D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63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</w:tcPr>
          <w:p w14:paraId="0040A778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</w:tcPr>
          <w:p w14:paraId="4B6549F6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529</w:t>
            </w:r>
          </w:p>
        </w:tc>
      </w:tr>
      <w:tr w:rsidR="003617F1" w:rsidRPr="00E900B4" w14:paraId="2FF0EB15" w14:textId="77777777" w:rsidTr="007F3774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C32AEE6" w14:textId="77777777" w:rsidR="003617F1" w:rsidRPr="00140988" w:rsidRDefault="003617F1" w:rsidP="003617F1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kolovoz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F6C9987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44AA012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DEB85B8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</w:t>
            </w:r>
            <w:r w:rsidR="00232E72">
              <w:rPr>
                <w:rFonts w:asciiTheme="minorHAnsi" w:hAnsiTheme="minorHAnsi" w:cstheme="minorHAnsi"/>
                <w:sz w:val="20"/>
              </w:rPr>
              <w:t>.</w:t>
            </w:r>
            <w:r w:rsidRPr="007F3774">
              <w:rPr>
                <w:rFonts w:asciiTheme="minorHAnsi" w:hAnsiTheme="minorHAnsi" w:cstheme="minorHAnsi"/>
                <w:sz w:val="20"/>
              </w:rPr>
              <w:t>094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1F7599A5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7D941273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</w:tcPr>
          <w:p w14:paraId="3494B8DE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vAlign w:val="center"/>
          </w:tcPr>
          <w:p w14:paraId="4884F67D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144</w:t>
            </w:r>
          </w:p>
        </w:tc>
      </w:tr>
      <w:tr w:rsidR="003617F1" w:rsidRPr="00E900B4" w14:paraId="77EFC532" w14:textId="77777777" w:rsidTr="007F3774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8775E05" w14:textId="77777777" w:rsidR="003617F1" w:rsidRPr="00140988" w:rsidRDefault="003617F1" w:rsidP="003617F1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65EB40B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355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A2DD5C0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B6DF2BA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1</w:t>
            </w:r>
            <w:r w:rsidR="00232E72">
              <w:rPr>
                <w:rFonts w:asciiTheme="minorHAnsi" w:hAnsiTheme="minorHAnsi" w:cstheme="minorHAnsi"/>
                <w:sz w:val="20"/>
              </w:rPr>
              <w:t>.</w:t>
            </w:r>
            <w:r w:rsidRPr="007F3774">
              <w:rPr>
                <w:rFonts w:asciiTheme="minorHAnsi" w:hAnsiTheme="minorHAnsi" w:cstheme="minorHAnsi"/>
                <w:sz w:val="20"/>
              </w:rPr>
              <w:t>444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405AA73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1868F8BD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42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</w:tcPr>
          <w:p w14:paraId="0E1B20FD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vAlign w:val="center"/>
          </w:tcPr>
          <w:p w14:paraId="41CD3179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774">
              <w:rPr>
                <w:rFonts w:asciiTheme="minorHAnsi" w:hAnsiTheme="minorHAnsi" w:cstheme="minorHAnsi"/>
                <w:sz w:val="20"/>
              </w:rPr>
              <w:t>372</w:t>
            </w:r>
          </w:p>
        </w:tc>
      </w:tr>
      <w:tr w:rsidR="003617F1" w:rsidRPr="00E900B4" w14:paraId="26BA5AAF" w14:textId="77777777" w:rsidTr="007F3774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446D11FD" w14:textId="77777777" w:rsidR="003617F1" w:rsidRPr="00DA737C" w:rsidRDefault="003617F1" w:rsidP="003617F1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 xml:space="preserve">UKUPNO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II</w:t>
            </w: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 kvartal 2022</w:t>
            </w: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2757F672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74963D97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42C5C350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3</w:t>
            </w:r>
            <w:r w:rsidR="00232E72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.</w:t>
            </w: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933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7E2BED6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10BFEB5E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132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vAlign w:val="center"/>
          </w:tcPr>
          <w:p w14:paraId="2DB51D89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vAlign w:val="center"/>
          </w:tcPr>
          <w:p w14:paraId="183AE6F1" w14:textId="77777777" w:rsidR="003617F1" w:rsidRPr="007F3774" w:rsidRDefault="003617F1" w:rsidP="007F377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</w:t>
            </w:r>
            <w:r w:rsidR="00232E72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.</w:t>
            </w:r>
            <w:r w:rsidRPr="007F3774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045</w:t>
            </w:r>
          </w:p>
        </w:tc>
      </w:tr>
    </w:tbl>
    <w:p w14:paraId="5635A8B7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39656B6" w14:textId="77777777" w:rsidR="00BB5004" w:rsidRPr="00C7486A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8962FB" w14:textId="7652EE09" w:rsidR="006652C8" w:rsidRPr="00D53CAD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3CAD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r w:rsidR="00232E72">
        <w:rPr>
          <w:rFonts w:asciiTheme="minorHAnsi" w:hAnsiTheme="minorHAnsi" w:cstheme="minorHAnsi"/>
          <w:sz w:val="22"/>
          <w:szCs w:val="22"/>
        </w:rPr>
        <w:t>I</w:t>
      </w:r>
      <w:r w:rsidRPr="00D53CAD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kva</w:t>
      </w:r>
      <w:r w:rsidR="006363C1" w:rsidRPr="00D53CAD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6363C1" w:rsidRPr="00D53CAD">
        <w:rPr>
          <w:rFonts w:asciiTheme="minorHAnsi" w:hAnsiTheme="minorHAnsi" w:cstheme="minorHAnsi"/>
          <w:sz w:val="22"/>
          <w:szCs w:val="22"/>
        </w:rPr>
        <w:t xml:space="preserve"> 2022</w:t>
      </w:r>
      <w:r w:rsidR="00E47016" w:rsidRPr="00D53C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D53CAD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D53CAD">
        <w:rPr>
          <w:rFonts w:asciiTheme="minorHAnsi" w:hAnsiTheme="minorHAnsi" w:cstheme="minorHAnsi"/>
          <w:sz w:val="22"/>
          <w:szCs w:val="22"/>
        </w:rPr>
        <w:t xml:space="preserve"> da je u </w:t>
      </w:r>
      <w:r w:rsidR="00232E72">
        <w:rPr>
          <w:rFonts w:asciiTheme="minorHAnsi" w:hAnsiTheme="minorHAnsi" w:cstheme="minorHAnsi"/>
          <w:sz w:val="22"/>
          <w:szCs w:val="22"/>
        </w:rPr>
        <w:t>I</w:t>
      </w:r>
      <w:r w:rsidR="00E47016" w:rsidRPr="00D53CAD">
        <w:rPr>
          <w:rFonts w:asciiTheme="minorHAnsi" w:hAnsiTheme="minorHAnsi" w:cstheme="minorHAnsi"/>
          <w:sz w:val="22"/>
          <w:szCs w:val="22"/>
        </w:rPr>
        <w:t>I</w:t>
      </w:r>
      <w:r w:rsidR="006363C1" w:rsidRPr="00D53CAD">
        <w:rPr>
          <w:rFonts w:asciiTheme="minorHAnsi" w:hAnsiTheme="minorHAnsi" w:cstheme="minorHAnsi"/>
          <w:sz w:val="22"/>
          <w:szCs w:val="22"/>
        </w:rPr>
        <w:t>I</w:t>
      </w:r>
      <w:r w:rsidR="00E47016" w:rsidRPr="00D53C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D53CAD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D53CAD">
        <w:rPr>
          <w:rFonts w:asciiTheme="minorHAnsi" w:hAnsiTheme="minorHAnsi" w:cstheme="minorHAnsi"/>
          <w:sz w:val="22"/>
          <w:szCs w:val="22"/>
        </w:rPr>
        <w:t xml:space="preserve"> 2</w:t>
      </w:r>
      <w:r w:rsidR="004F79FC" w:rsidRPr="00D53CAD">
        <w:rPr>
          <w:rFonts w:asciiTheme="minorHAnsi" w:hAnsiTheme="minorHAnsi" w:cstheme="minorHAnsi"/>
          <w:sz w:val="22"/>
          <w:szCs w:val="22"/>
        </w:rPr>
        <w:t>022</w:t>
      </w:r>
      <w:r w:rsidRPr="00D53C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F79FC" w:rsidRPr="00D53CAD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r w:rsidR="00232E72">
        <w:rPr>
          <w:rFonts w:asciiTheme="minorHAnsi" w:hAnsiTheme="minorHAnsi" w:cstheme="minorHAnsi"/>
          <w:sz w:val="22"/>
          <w:szCs w:val="22"/>
        </w:rPr>
        <w:t>27,24</w:t>
      </w:r>
      <w:r w:rsidR="008412DB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4F79FC" w:rsidRPr="00D53CAD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r w:rsidR="00232E72">
        <w:rPr>
          <w:rFonts w:asciiTheme="minorHAnsi" w:hAnsiTheme="minorHAnsi" w:cstheme="minorHAnsi"/>
          <w:sz w:val="22"/>
          <w:szCs w:val="22"/>
        </w:rPr>
        <w:t>30,02</w:t>
      </w:r>
      <w:r w:rsidRPr="00D53CAD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D53CAD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r w:rsidR="00232E72">
        <w:rPr>
          <w:rFonts w:asciiTheme="minorHAnsi" w:hAnsiTheme="minorHAnsi" w:cstheme="minorHAnsi"/>
          <w:sz w:val="22"/>
          <w:szCs w:val="22"/>
        </w:rPr>
        <w:t>13,54</w:t>
      </w:r>
      <w:r w:rsidR="001E2917" w:rsidRPr="00D53CAD">
        <w:rPr>
          <w:rFonts w:asciiTheme="minorHAnsi" w:hAnsiTheme="minorHAnsi" w:cstheme="minorHAnsi"/>
          <w:sz w:val="22"/>
          <w:szCs w:val="22"/>
        </w:rPr>
        <w:t>%</w:t>
      </w:r>
      <w:r w:rsidR="00D53CAD" w:rsidRPr="00D53CAD">
        <w:rPr>
          <w:rFonts w:asciiTheme="minorHAnsi" w:hAnsiTheme="minorHAnsi" w:cstheme="minorHAnsi"/>
          <w:sz w:val="22"/>
          <w:szCs w:val="22"/>
        </w:rPr>
        <w:t>,</w:t>
      </w:r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777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za 19,04%,</w:t>
      </w:r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79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lastRenderedPageBreak/>
        <w:t>položenih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r w:rsidR="00232E72">
        <w:rPr>
          <w:rFonts w:asciiTheme="minorHAnsi" w:hAnsiTheme="minorHAnsi" w:cstheme="minorHAnsi"/>
          <w:sz w:val="22"/>
          <w:szCs w:val="22"/>
        </w:rPr>
        <w:t>0,76</w:t>
      </w:r>
      <w:r w:rsidRPr="00D53CAD">
        <w:rPr>
          <w:rFonts w:asciiTheme="minorHAnsi" w:hAnsiTheme="minorHAnsi" w:cstheme="minorHAnsi"/>
          <w:sz w:val="22"/>
          <w:szCs w:val="22"/>
        </w:rPr>
        <w:t>%</w:t>
      </w:r>
      <w:r w:rsidR="00D53CAD" w:rsidRPr="00D53C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br</w:t>
      </w:r>
      <w:r w:rsidR="00D53CAD" w:rsidRPr="00D53CAD">
        <w:rPr>
          <w:rFonts w:asciiTheme="minorHAnsi" w:hAnsiTheme="minorHAnsi" w:cstheme="minorHAnsi"/>
          <w:sz w:val="22"/>
          <w:szCs w:val="22"/>
        </w:rPr>
        <w:t>oj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r w:rsidR="00232E72">
        <w:rPr>
          <w:rFonts w:asciiTheme="minorHAnsi" w:hAnsiTheme="minorHAnsi" w:cstheme="minorHAnsi"/>
          <w:sz w:val="22"/>
          <w:szCs w:val="22"/>
        </w:rPr>
        <w:t>za 20,79</w:t>
      </w:r>
      <w:r w:rsidR="00D53CAD" w:rsidRPr="00D53CAD">
        <w:rPr>
          <w:rFonts w:asciiTheme="minorHAnsi" w:hAnsiTheme="minorHAnsi" w:cstheme="minorHAnsi"/>
          <w:sz w:val="22"/>
          <w:szCs w:val="22"/>
        </w:rPr>
        <w:t>%</w:t>
      </w:r>
      <w:r w:rsidR="004F79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D53CAD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AD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E72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232E72">
        <w:rPr>
          <w:rFonts w:asciiTheme="minorHAnsi" w:hAnsiTheme="minorHAnsi" w:cstheme="minorHAnsi"/>
          <w:sz w:val="22"/>
          <w:szCs w:val="22"/>
        </w:rPr>
        <w:t xml:space="preserve"> za 41,98</w:t>
      </w:r>
      <w:r w:rsidR="00D53CAD" w:rsidRPr="00D53CAD">
        <w:rPr>
          <w:rFonts w:asciiTheme="minorHAnsi" w:hAnsiTheme="minorHAnsi" w:cstheme="minorHAnsi"/>
          <w:sz w:val="22"/>
          <w:szCs w:val="22"/>
        </w:rPr>
        <w:t>%.</w:t>
      </w:r>
    </w:p>
    <w:p w14:paraId="46A6E903" w14:textId="744D2A0F" w:rsidR="00647B7A" w:rsidRDefault="00BB5004" w:rsidP="006E044C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odn</w:t>
      </w:r>
      <w:r w:rsidR="001B7740">
        <w:rPr>
          <w:rFonts w:asciiTheme="minorHAnsi" w:hAnsiTheme="minorHAnsi" w:cstheme="minorHAnsi"/>
          <w:sz w:val="22"/>
          <w:szCs w:val="22"/>
        </w:rPr>
        <w:t>osu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, u </w:t>
      </w:r>
      <w:r w:rsidR="00BF0175">
        <w:rPr>
          <w:rFonts w:asciiTheme="minorHAnsi" w:hAnsiTheme="minorHAnsi" w:cstheme="minorHAnsi"/>
          <w:sz w:val="22"/>
          <w:szCs w:val="22"/>
        </w:rPr>
        <w:t>I</w:t>
      </w:r>
      <w:r w:rsidR="001E2917" w:rsidRPr="00C7486A">
        <w:rPr>
          <w:rFonts w:asciiTheme="minorHAnsi" w:hAnsiTheme="minorHAnsi" w:cstheme="minorHAnsi"/>
          <w:sz w:val="22"/>
          <w:szCs w:val="22"/>
        </w:rPr>
        <w:t>I</w:t>
      </w:r>
      <w:r w:rsidR="000905A0">
        <w:rPr>
          <w:rFonts w:asciiTheme="minorHAnsi" w:hAnsiTheme="minorHAnsi" w:cstheme="minorHAnsi"/>
          <w:sz w:val="22"/>
          <w:szCs w:val="22"/>
        </w:rPr>
        <w:t>I</w:t>
      </w:r>
      <w:r w:rsidR="001B774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2022</w:t>
      </w:r>
      <w:r w:rsidR="00AF6BF0" w:rsidRPr="00C7486A">
        <w:rPr>
          <w:rFonts w:asciiTheme="minorHAnsi" w:hAnsiTheme="minorHAnsi" w:cstheme="minorHAnsi"/>
          <w:sz w:val="22"/>
          <w:szCs w:val="22"/>
        </w:rPr>
        <w:t>.</w:t>
      </w:r>
      <w:r w:rsidR="00BE0F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0905A0">
        <w:rPr>
          <w:rFonts w:asciiTheme="minorHAnsi" w:hAnsiTheme="minorHAnsi" w:cstheme="minorHAnsi"/>
          <w:sz w:val="22"/>
          <w:szCs w:val="22"/>
        </w:rPr>
        <w:t>1.102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prigovor</w:t>
      </w:r>
      <w:r w:rsidR="001B77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0905A0">
        <w:rPr>
          <w:rFonts w:asciiTheme="minorHAnsi" w:hAnsiTheme="minorHAnsi" w:cstheme="minorHAnsi"/>
          <w:sz w:val="22"/>
          <w:szCs w:val="22"/>
        </w:rPr>
        <w:t>3.698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prijedlog</w:t>
      </w:r>
      <w:r w:rsidR="00BE0FF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</w:t>
      </w:r>
      <w:r w:rsidR="001B7740">
        <w:rPr>
          <w:rFonts w:asciiTheme="minorHAnsi" w:hAnsiTheme="minorHAnsi" w:cstheme="minorHAnsi"/>
          <w:sz w:val="22"/>
          <w:szCs w:val="22"/>
        </w:rPr>
        <w:t>jed</w:t>
      </w:r>
      <w:r w:rsidR="00BF0175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>, 554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0905A0">
        <w:rPr>
          <w:rFonts w:asciiTheme="minorHAnsi" w:hAnsiTheme="minorHAnsi" w:cstheme="minorHAnsi"/>
          <w:sz w:val="22"/>
          <w:szCs w:val="22"/>
        </w:rPr>
        <w:t>273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>, 314</w:t>
      </w:r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0175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prigovor</w:t>
      </w:r>
      <w:r w:rsidR="0097777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</w:t>
      </w:r>
      <w:r w:rsidR="00BF0175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0175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BF01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816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C45E9EA" w14:textId="77777777" w:rsidR="001B7740" w:rsidRPr="00E900B4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B76F8" w14:textId="77777777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2" w:name="_Toc70332772"/>
      <w:bookmarkStart w:id="53" w:name="_Toc505002670"/>
      <w:bookmarkStart w:id="54" w:name="_Toc50500275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10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E1256C">
        <w:rPr>
          <w:rFonts w:asciiTheme="minorHAnsi" w:hAnsiTheme="minorHAnsi" w:cstheme="minorHAnsi"/>
          <w:b w:val="0"/>
          <w:sz w:val="22"/>
          <w:szCs w:val="22"/>
        </w:rPr>
        <w:t>I</w:t>
      </w:r>
      <w:r w:rsidR="0008438E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2"/>
    </w:p>
    <w:p w14:paraId="2B7FF471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8" w:type="dxa"/>
        <w:tblInd w:w="662" w:type="dxa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169"/>
        <w:gridCol w:w="1276"/>
        <w:gridCol w:w="1264"/>
        <w:gridCol w:w="1253"/>
      </w:tblGrid>
      <w:tr w:rsidR="008E5C73" w:rsidRPr="00E900B4" w14:paraId="09B6F7C7" w14:textId="77777777" w:rsidTr="008E5C73">
        <w:trPr>
          <w:trHeight w:val="1206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6D15FB3" w14:textId="77777777" w:rsidR="008E5C73" w:rsidRPr="00DA737C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bookmarkStart w:id="55" w:name="_Hlk101954964"/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9514F44" w14:textId="77777777" w:rsidR="008E5C73" w:rsidRPr="00DA737C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5A9323" w14:textId="77777777" w:rsidR="008E5C73" w:rsidRPr="00DA737C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20CB585E" w14:textId="77777777" w:rsidR="008E5C73" w:rsidRPr="00DA737C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u pojedinačnom ispravnom postupku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</w:tcPr>
          <w:p w14:paraId="3409DFE5" w14:textId="77777777" w:rsidR="008E5C73" w:rsidRPr="00DA737C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79DF348C" w14:textId="77777777" w:rsidR="008E5C73" w:rsidRDefault="008E5C73" w:rsidP="00517470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02EFCF55" w14:textId="77777777" w:rsidR="008E5C73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 u postupku povezivanja ZK i KPU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44F195B8" w14:textId="77777777" w:rsidR="008E5C73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03098346" w14:textId="77777777" w:rsidR="008E5C73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1EFDCD3A" w14:textId="77777777" w:rsidR="008E5C73" w:rsidRDefault="008E5C73" w:rsidP="005174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Ostali posebni postupci</w:t>
            </w:r>
          </w:p>
        </w:tc>
      </w:tr>
      <w:tr w:rsidR="0008438E" w:rsidRPr="00E900B4" w14:paraId="2174C62E" w14:textId="77777777" w:rsidTr="008E5C7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B4C3F45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72419D3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EFF92BC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1.324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DAD2365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36339F27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756D5D40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7F9F6864" w14:textId="77777777" w:rsidR="0008438E" w:rsidRPr="00BF0175" w:rsidRDefault="00E1256C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</w:tr>
      <w:tr w:rsidR="0008438E" w:rsidRPr="00E900B4" w14:paraId="2CA08A6F" w14:textId="77777777" w:rsidTr="008E5C7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17E3A450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kolovoz</w:t>
            </w:r>
            <w:r w:rsidR="0008438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13233D20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ECA09C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910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15DA4C0D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72A45E38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26BF7FD5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1B97E107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</w:tr>
      <w:tr w:rsidR="0008438E" w:rsidRPr="00E900B4" w14:paraId="03274A76" w14:textId="77777777" w:rsidTr="008E5C7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5EB8357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71A713A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C76A8FF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1.464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F3DF9D4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67A626E2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6C2EA961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5524E30D" w14:textId="77777777" w:rsidR="0008438E" w:rsidRPr="00BF0175" w:rsidRDefault="006667B4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347</w:t>
            </w:r>
          </w:p>
        </w:tc>
      </w:tr>
      <w:tr w:rsidR="008E5C73" w:rsidRPr="00E900B4" w14:paraId="0BD293BE" w14:textId="77777777" w:rsidTr="008E5C7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5603117" w14:textId="77777777" w:rsidR="008E5C73" w:rsidRPr="00DA737C" w:rsidRDefault="008E5C73" w:rsidP="00517470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 xml:space="preserve">UKUPNO  </w:t>
            </w:r>
            <w:r w:rsidR="0008438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I</w:t>
            </w:r>
            <w:r w:rsidR="00E1256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I</w:t>
            </w: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 kvartal 2022</w:t>
            </w:r>
            <w:r w:rsidRPr="00DA737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  <w:t>.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2647F6E2" w14:textId="77777777" w:rsidR="008E5C73" w:rsidRPr="00BF0175" w:rsidRDefault="00BF0175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BF017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1.</w:t>
            </w:r>
            <w:r w:rsidR="006667B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102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31D6F712" w14:textId="77777777" w:rsidR="008E5C73" w:rsidRPr="00BF0175" w:rsidRDefault="006667B4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3</w:t>
            </w:r>
            <w:r w:rsidR="00232E7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698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1ED14582" w14:textId="77777777" w:rsidR="008E5C73" w:rsidRPr="00BF0175" w:rsidRDefault="00BF0175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BF017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5</w:t>
            </w:r>
            <w:r w:rsidR="006667B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54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</w:tcPr>
          <w:p w14:paraId="5D644924" w14:textId="77777777" w:rsidR="008E5C73" w:rsidRPr="00BF0175" w:rsidRDefault="006667B4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273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</w:tcPr>
          <w:p w14:paraId="6B56DDC4" w14:textId="77777777" w:rsidR="008E5C73" w:rsidRPr="00BF0175" w:rsidRDefault="006667B4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314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</w:tcPr>
          <w:p w14:paraId="7E86936C" w14:textId="77777777" w:rsidR="008E5C73" w:rsidRPr="00BF0175" w:rsidRDefault="006667B4" w:rsidP="00BF01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816</w:t>
            </w:r>
          </w:p>
        </w:tc>
      </w:tr>
      <w:bookmarkEnd w:id="55"/>
    </w:tbl>
    <w:p w14:paraId="287A9D17" w14:textId="77777777" w:rsidR="0065638E" w:rsidRPr="00D53CAD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p w14:paraId="02E9569F" w14:textId="77777777" w:rsidR="00BE0FFC" w:rsidRDefault="00D53CAD" w:rsidP="00BE0FF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3CAD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I</w:t>
      </w:r>
      <w:r w:rsidR="000905A0">
        <w:rPr>
          <w:rFonts w:asciiTheme="minorHAnsi" w:hAnsiTheme="minorHAnsi" w:cstheme="minorHAnsi"/>
          <w:sz w:val="22"/>
          <w:szCs w:val="22"/>
        </w:rPr>
        <w:t>I</w:t>
      </w:r>
      <w:r w:rsidRPr="00D53C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2022</w:t>
      </w:r>
      <w:r w:rsidR="00BE0FFC" w:rsidRPr="00D53C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da je u I</w:t>
      </w:r>
      <w:r w:rsidRPr="00D53CAD">
        <w:rPr>
          <w:rFonts w:asciiTheme="minorHAnsi" w:hAnsiTheme="minorHAnsi" w:cstheme="minorHAnsi"/>
          <w:sz w:val="22"/>
          <w:szCs w:val="22"/>
        </w:rPr>
        <w:t>I</w:t>
      </w:r>
      <w:r w:rsidR="000905A0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2022.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za</w:t>
      </w:r>
      <w:r w:rsidR="000905A0">
        <w:rPr>
          <w:rFonts w:asciiTheme="minorHAnsi" w:hAnsiTheme="minorHAnsi" w:cstheme="minorHAnsi"/>
          <w:sz w:val="22"/>
          <w:szCs w:val="22"/>
        </w:rPr>
        <w:t xml:space="preserve"> 23,31</w:t>
      </w:r>
      <w:r w:rsidRPr="00D53CAD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pojedina</w:t>
      </w:r>
      <w:r w:rsidR="000905A0">
        <w:rPr>
          <w:rFonts w:asciiTheme="minorHAnsi" w:hAnsiTheme="minorHAnsi" w:cstheme="minorHAnsi"/>
          <w:sz w:val="22"/>
          <w:szCs w:val="22"/>
        </w:rPr>
        <w:t>čnih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za 13,13</w:t>
      </w:r>
      <w:r w:rsidRPr="00D53CAD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pojedin</w:t>
      </w:r>
      <w:r w:rsidR="000905A0">
        <w:rPr>
          <w:rFonts w:asciiTheme="minorHAnsi" w:hAnsiTheme="minorHAnsi" w:cstheme="minorHAnsi"/>
          <w:sz w:val="22"/>
          <w:szCs w:val="22"/>
        </w:rPr>
        <w:t>ačnom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za 3,48</w:t>
      </w:r>
      <w:r w:rsidRPr="00D53CAD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E0FFC"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FFC" w:rsidRPr="00D53CAD">
        <w:rPr>
          <w:rFonts w:asciiTheme="minorHAnsi" w:hAnsiTheme="minorHAnsi" w:cstheme="minorHAnsi"/>
          <w:sz w:val="22"/>
          <w:szCs w:val="22"/>
        </w:rPr>
        <w:t>k</w:t>
      </w:r>
      <w:r w:rsidR="000905A0">
        <w:rPr>
          <w:rFonts w:asciiTheme="minorHAnsi" w:hAnsiTheme="minorHAnsi" w:cstheme="minorHAnsi"/>
          <w:sz w:val="22"/>
          <w:szCs w:val="22"/>
        </w:rPr>
        <w:t>njige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za 5,86%,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smanje</w:t>
      </w:r>
      <w:r w:rsidRPr="00D53CAD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povezivanj</w:t>
      </w:r>
      <w:r w:rsidR="004D0FE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r w:rsidR="000905A0">
        <w:rPr>
          <w:rFonts w:asciiTheme="minorHAnsi" w:hAnsiTheme="minorHAnsi" w:cstheme="minorHAnsi"/>
          <w:sz w:val="22"/>
          <w:szCs w:val="22"/>
        </w:rPr>
        <w:t xml:space="preserve">za 15,36%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smanje</w:t>
      </w:r>
      <w:r w:rsidRPr="00D53CAD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53C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AD">
        <w:rPr>
          <w:rFonts w:asciiTheme="minorHAnsi" w:hAnsiTheme="minorHAnsi" w:cstheme="minorHAnsi"/>
          <w:sz w:val="22"/>
          <w:szCs w:val="22"/>
        </w:rPr>
        <w:t>os</w:t>
      </w:r>
      <w:r w:rsidR="000905A0">
        <w:rPr>
          <w:rFonts w:asciiTheme="minorHAnsi" w:hAnsiTheme="minorHAnsi" w:cstheme="minorHAnsi"/>
          <w:sz w:val="22"/>
          <w:szCs w:val="22"/>
        </w:rPr>
        <w:t>talih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za 27,14</w:t>
      </w:r>
      <w:r w:rsidRPr="00D53CAD">
        <w:rPr>
          <w:rFonts w:asciiTheme="minorHAnsi" w:hAnsiTheme="minorHAnsi" w:cstheme="minorHAnsi"/>
          <w:sz w:val="22"/>
          <w:szCs w:val="22"/>
        </w:rPr>
        <w:t>%.</w:t>
      </w:r>
    </w:p>
    <w:p w14:paraId="4CACCE61" w14:textId="77777777" w:rsidR="005157BF" w:rsidRPr="00D53CAD" w:rsidRDefault="005157BF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53"/>
    <w:bookmarkEnd w:id="54"/>
    <w:p w14:paraId="1C76370F" w14:textId="77777777" w:rsidR="00517470" w:rsidRPr="00C7486A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4B59A8">
        <w:rPr>
          <w:rFonts w:asciiTheme="minorHAnsi" w:hAnsiTheme="minorHAnsi" w:cstheme="minorHAnsi"/>
          <w:sz w:val="22"/>
          <w:szCs w:val="22"/>
        </w:rPr>
        <w:t xml:space="preserve">Na dan </w:t>
      </w:r>
      <w:r w:rsidR="001C0260">
        <w:rPr>
          <w:rFonts w:asciiTheme="minorHAnsi" w:hAnsiTheme="minorHAnsi" w:cstheme="minorHAnsi"/>
          <w:sz w:val="22"/>
          <w:szCs w:val="22"/>
        </w:rPr>
        <w:t>30</w:t>
      </w:r>
      <w:r w:rsidR="00E119EF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rujn</w:t>
      </w:r>
      <w:r w:rsidR="008412D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2022</w:t>
      </w:r>
      <w:r w:rsidR="00696ECE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96ECE" w:rsidRPr="004B59A8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696ECE" w:rsidRPr="004B59A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05B12" w:rsidRPr="004B59A8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37D06" w:rsidRPr="004B59A8">
        <w:rPr>
          <w:rFonts w:asciiTheme="minorHAnsi" w:hAnsiTheme="minorHAnsi" w:cstheme="minorHAnsi"/>
          <w:sz w:val="22"/>
          <w:szCs w:val="22"/>
        </w:rPr>
        <w:t xml:space="preserve"> </w:t>
      </w:r>
      <w:bookmarkStart w:id="56" w:name="_Toc505002671"/>
      <w:bookmarkStart w:id="57" w:name="_Toc505002757"/>
      <w:r w:rsidR="000905A0">
        <w:rPr>
          <w:rFonts w:asciiTheme="minorHAnsi" w:hAnsiTheme="minorHAnsi" w:cstheme="minorHAnsi"/>
          <w:sz w:val="22"/>
          <w:szCs w:val="22"/>
        </w:rPr>
        <w:t>5.178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prigovor</w:t>
      </w:r>
      <w:r w:rsidR="0051747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BF0175">
        <w:rPr>
          <w:rFonts w:asciiTheme="minorHAnsi" w:hAnsiTheme="minorHAnsi" w:cstheme="minorHAnsi"/>
          <w:sz w:val="22"/>
          <w:szCs w:val="22"/>
        </w:rPr>
        <w:t>1</w:t>
      </w:r>
      <w:r w:rsidR="000905A0">
        <w:rPr>
          <w:rFonts w:asciiTheme="minorHAnsi" w:hAnsiTheme="minorHAnsi" w:cstheme="minorHAnsi"/>
          <w:sz w:val="22"/>
          <w:szCs w:val="22"/>
        </w:rPr>
        <w:t>4.066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prijedlog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</w:t>
      </w:r>
      <w:r w:rsidR="00517470">
        <w:rPr>
          <w:rFonts w:asciiTheme="minorHAnsi" w:hAnsiTheme="minorHAnsi" w:cstheme="minorHAnsi"/>
          <w:sz w:val="22"/>
          <w:szCs w:val="22"/>
        </w:rPr>
        <w:t>jed</w:t>
      </w:r>
      <w:r w:rsidR="00831699">
        <w:rPr>
          <w:rFonts w:asciiTheme="minorHAnsi" w:hAnsiTheme="minorHAnsi" w:cstheme="minorHAnsi"/>
          <w:sz w:val="22"/>
          <w:szCs w:val="22"/>
        </w:rPr>
        <w:t>in</w:t>
      </w:r>
      <w:r w:rsidR="000905A0">
        <w:rPr>
          <w:rFonts w:asciiTheme="minorHAnsi" w:hAnsiTheme="minorHAnsi" w:cstheme="minorHAnsi"/>
          <w:sz w:val="22"/>
          <w:szCs w:val="22"/>
        </w:rPr>
        <w:t>ačnih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 xml:space="preserve">, 1.324 </w:t>
      </w:r>
      <w:proofErr w:type="spellStart"/>
      <w:r w:rsidR="000905A0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, </w:t>
      </w:r>
      <w:r w:rsidR="00BF0175">
        <w:rPr>
          <w:rFonts w:asciiTheme="minorHAnsi" w:hAnsiTheme="minorHAnsi" w:cstheme="minorHAnsi"/>
          <w:sz w:val="22"/>
          <w:szCs w:val="22"/>
        </w:rPr>
        <w:t>1.</w:t>
      </w:r>
      <w:r w:rsidR="000905A0">
        <w:rPr>
          <w:rFonts w:asciiTheme="minorHAnsi" w:hAnsiTheme="minorHAnsi" w:cstheme="minorHAnsi"/>
          <w:sz w:val="22"/>
          <w:szCs w:val="22"/>
        </w:rPr>
        <w:t>384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prijedlog</w:t>
      </w:r>
      <w:r w:rsidR="000905A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0905A0">
        <w:rPr>
          <w:rFonts w:asciiTheme="minorHAnsi" w:hAnsiTheme="minorHAnsi" w:cstheme="minorHAnsi"/>
          <w:sz w:val="22"/>
          <w:szCs w:val="22"/>
        </w:rPr>
        <w:t>, 539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prijav</w:t>
      </w:r>
      <w:r w:rsidR="00BF01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</w:t>
      </w:r>
      <w:r w:rsidR="00831699">
        <w:rPr>
          <w:rFonts w:asciiTheme="minorHAnsi" w:hAnsiTheme="minorHAnsi" w:cstheme="minorHAnsi"/>
          <w:sz w:val="22"/>
          <w:szCs w:val="22"/>
        </w:rPr>
        <w:t>upku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2.</w:t>
      </w:r>
      <w:r w:rsidR="000905A0">
        <w:rPr>
          <w:rFonts w:asciiTheme="minorHAnsi" w:hAnsiTheme="minorHAnsi" w:cstheme="minorHAnsi"/>
          <w:sz w:val="22"/>
          <w:szCs w:val="22"/>
        </w:rPr>
        <w:t>721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ostali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posebni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postupak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E2B006E" w14:textId="77777777" w:rsidR="00404BB1" w:rsidRPr="00E900B4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BC6ED3" w14:textId="77777777" w:rsidR="00075A89" w:rsidRPr="00E900B4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8" w:name="_Toc70332773"/>
      <w:bookmarkStart w:id="59" w:name="_Hlk9486689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11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1256C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>I</w:t>
      </w:r>
      <w:r w:rsidR="0008438E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56"/>
      <w:bookmarkEnd w:id="57"/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2022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8"/>
    </w:p>
    <w:p w14:paraId="21F48007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8" w:type="dxa"/>
        <w:tblInd w:w="662" w:type="dxa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169"/>
        <w:gridCol w:w="1276"/>
        <w:gridCol w:w="1264"/>
        <w:gridCol w:w="1253"/>
      </w:tblGrid>
      <w:tr w:rsidR="00E74E93" w:rsidRPr="00E900B4" w14:paraId="2A54B9D4" w14:textId="77777777" w:rsidTr="00E74E93">
        <w:trPr>
          <w:trHeight w:val="1206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BE04B2F" w14:textId="77777777" w:rsidR="00E74E93" w:rsidRPr="00DA737C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6B11E38" w14:textId="77777777" w:rsidR="00E74E93" w:rsidRPr="00DA737C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73E12381" w14:textId="77777777" w:rsidR="00E74E93" w:rsidRPr="00DA737C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Pojedinačni ispravni postupci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1F1C11EA" w14:textId="77777777" w:rsidR="00E74E93" w:rsidRPr="00DA737C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u pojedinačnom ispravnom postupku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</w:tcPr>
          <w:p w14:paraId="12E7EFD7" w14:textId="77777777" w:rsidR="00E74E93" w:rsidRPr="00DA737C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Prijedlozi za povezivanje ZK i KPU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66E8B690" w14:textId="77777777" w:rsidR="00E74E93" w:rsidRDefault="00E74E93" w:rsidP="003E3447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08B099A4" w14:textId="77777777" w:rsidR="00E74E93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Prijava i prigovor  u postupku povezivanja ZK i KPU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</w:tcPr>
          <w:p w14:paraId="7A02EE8F" w14:textId="77777777" w:rsidR="00E74E93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5D86D6D0" w14:textId="77777777" w:rsidR="00E74E93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  <w:p w14:paraId="18EBD4F0" w14:textId="77777777" w:rsidR="00E74E93" w:rsidRDefault="00E74E93" w:rsidP="003E34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Ostali posebni postupci</w:t>
            </w:r>
          </w:p>
        </w:tc>
      </w:tr>
      <w:tr w:rsidR="0008438E" w:rsidRPr="00E900B4" w14:paraId="7DD7CD49" w14:textId="77777777" w:rsidTr="00E74E9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F69CE2A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srpanj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916D40F" w14:textId="77777777" w:rsidR="0008438E" w:rsidRPr="00BF0175" w:rsidRDefault="00F4043A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5.23</w:t>
            </w:r>
            <w:r w:rsidR="0008438E" w:rsidRPr="00BF017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BD22322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14.013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79AA778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1.319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43177172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1.454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75680DDC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572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33E89CE5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2.569</w:t>
            </w:r>
          </w:p>
        </w:tc>
      </w:tr>
      <w:tr w:rsidR="0008438E" w:rsidRPr="00E900B4" w14:paraId="0AD30EE4" w14:textId="77777777" w:rsidTr="00E74E9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AEB7064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kolovoz</w:t>
            </w:r>
            <w:r w:rsidR="0008438E"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1543845F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5.267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A39F465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14.095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C61B642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1.358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4B99ED93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1.430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6B3BF3F2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587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760A790E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2.595</w:t>
            </w:r>
          </w:p>
        </w:tc>
      </w:tr>
      <w:tr w:rsidR="0008438E" w:rsidRPr="00E900B4" w14:paraId="3ACC7629" w14:textId="77777777" w:rsidTr="00E74E93">
        <w:trPr>
          <w:trHeight w:val="300"/>
        </w:trPr>
        <w:tc>
          <w:tcPr>
            <w:tcW w:w="18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DEEFD98" w14:textId="77777777" w:rsidR="0008438E" w:rsidRPr="00140988" w:rsidRDefault="00E1256C" w:rsidP="0008438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48395F9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5.178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71D3E8F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14.066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7F5CA43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1.324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B5D7622" w14:textId="77777777" w:rsidR="0008438E" w:rsidRPr="00BF0175" w:rsidRDefault="007F56E0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56E0">
              <w:rPr>
                <w:rFonts w:asciiTheme="minorHAnsi" w:hAnsiTheme="minorHAnsi" w:cstheme="minorHAnsi"/>
                <w:sz w:val="18"/>
                <w:szCs w:val="18"/>
              </w:rPr>
              <w:t>1.384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3B89D1B1" w14:textId="77777777" w:rsidR="0008438E" w:rsidRPr="00BF0175" w:rsidRDefault="004D1F8F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313E36E3" w14:textId="77777777" w:rsidR="0008438E" w:rsidRPr="00BF0175" w:rsidRDefault="004D1F8F" w:rsidP="00BF01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2.721</w:t>
            </w:r>
          </w:p>
        </w:tc>
      </w:tr>
    </w:tbl>
    <w:p w14:paraId="50DDD89D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69CBD114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0E87F" w14:textId="77777777" w:rsidR="00E21728" w:rsidRDefault="000905A0" w:rsidP="004D0FE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0" w:name="_Toc535406770"/>
      <w:bookmarkEnd w:id="59"/>
      <w:proofErr w:type="spellStart"/>
      <w:r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II.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kvar</w:t>
      </w:r>
      <w:r w:rsidR="004D0FE0">
        <w:rPr>
          <w:rFonts w:asciiTheme="minorHAnsi" w:hAnsiTheme="minorHAnsi" w:cstheme="minorHAnsi"/>
          <w:sz w:val="22"/>
          <w:szCs w:val="22"/>
        </w:rPr>
        <w:t>tala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2022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4D0FE0">
        <w:rPr>
          <w:rFonts w:asciiTheme="minorHAnsi" w:hAnsiTheme="minorHAnsi" w:cstheme="minorHAnsi"/>
          <w:sz w:val="22"/>
          <w:szCs w:val="22"/>
        </w:rPr>
        <w:t>I</w:t>
      </w:r>
      <w:r w:rsidR="00517470" w:rsidRPr="00C7486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17470">
        <w:rPr>
          <w:rFonts w:asciiTheme="minorHAnsi" w:hAnsiTheme="minorHAnsi" w:cstheme="minorHAnsi"/>
          <w:sz w:val="22"/>
          <w:szCs w:val="22"/>
        </w:rPr>
        <w:t>022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2,70</w:t>
      </w:r>
      <w:r w:rsidR="00517470" w:rsidRPr="00C7486A">
        <w:rPr>
          <w:rFonts w:asciiTheme="minorHAnsi" w:hAnsiTheme="minorHAnsi" w:cstheme="minorHAnsi"/>
          <w:sz w:val="22"/>
          <w:szCs w:val="22"/>
        </w:rPr>
        <w:t>%,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</w:t>
      </w:r>
      <w:r>
        <w:rPr>
          <w:rFonts w:asciiTheme="minorHAnsi" w:hAnsiTheme="minorHAnsi" w:cstheme="minorHAnsi"/>
          <w:sz w:val="22"/>
          <w:szCs w:val="22"/>
        </w:rPr>
        <w:t xml:space="preserve"> 0,52</w:t>
      </w:r>
      <w:r w:rsidR="004D0FE0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za </w:t>
      </w:r>
      <w:r w:rsidR="00C87857">
        <w:rPr>
          <w:rFonts w:asciiTheme="minorHAnsi" w:hAnsiTheme="minorHAnsi" w:cstheme="minorHAnsi"/>
          <w:sz w:val="22"/>
          <w:szCs w:val="22"/>
        </w:rPr>
        <w:t>3,91</w:t>
      </w:r>
      <w:r w:rsidR="004D0FE0" w:rsidRPr="004D0FE0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ne</w:t>
      </w:r>
      <w:r w:rsidR="004D0FE0" w:rsidRPr="004D0FE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za 4,61</w:t>
      </w:r>
      <w:r w:rsidR="004D0FE0" w:rsidRPr="004D0FE0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post</w:t>
      </w:r>
      <w:r w:rsidR="004D0FE0">
        <w:rPr>
          <w:rFonts w:asciiTheme="minorHAnsi" w:hAnsiTheme="minorHAnsi" w:cstheme="minorHAnsi"/>
          <w:sz w:val="22"/>
          <w:szCs w:val="22"/>
        </w:rPr>
        <w:t>upku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r w:rsidR="00C87857">
        <w:rPr>
          <w:rFonts w:asciiTheme="minorHAnsi" w:hAnsiTheme="minorHAnsi" w:cstheme="minorHAnsi"/>
          <w:sz w:val="22"/>
          <w:szCs w:val="22"/>
        </w:rPr>
        <w:t>za 5,43</w:t>
      </w:r>
      <w:r w:rsidR="004D0FE0" w:rsidRPr="004D0FE0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878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785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4D0FE0" w:rsidRP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0FE0" w:rsidRPr="004D0FE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  <w:r w:rsidR="004D0FE0" w:rsidRPr="004D0FE0">
        <w:rPr>
          <w:rFonts w:asciiTheme="minorHAnsi" w:hAnsiTheme="minorHAnsi" w:cstheme="minorHAnsi"/>
          <w:sz w:val="22"/>
          <w:szCs w:val="22"/>
        </w:rPr>
        <w:t>za</w:t>
      </w:r>
      <w:r w:rsidR="00C87857">
        <w:rPr>
          <w:rFonts w:asciiTheme="minorHAnsi" w:hAnsiTheme="minorHAnsi" w:cstheme="minorHAnsi"/>
          <w:sz w:val="22"/>
          <w:szCs w:val="22"/>
        </w:rPr>
        <w:t xml:space="preserve"> 18,15</w:t>
      </w:r>
      <w:r w:rsidR="004D0FE0" w:rsidRPr="004D0FE0">
        <w:rPr>
          <w:rFonts w:asciiTheme="minorHAnsi" w:hAnsiTheme="minorHAnsi" w:cstheme="minorHAnsi"/>
          <w:sz w:val="22"/>
          <w:szCs w:val="22"/>
        </w:rPr>
        <w:t>%.</w:t>
      </w:r>
      <w:r w:rsidR="004D0F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4301F" w14:textId="77777777" w:rsidR="004D0FE0" w:rsidRPr="00E900B4" w:rsidRDefault="004D0FE0" w:rsidP="004D0FE0">
      <w:pPr>
        <w:jc w:val="both"/>
        <w:rPr>
          <w:rFonts w:asciiTheme="minorHAnsi" w:hAnsiTheme="minorHAnsi" w:cstheme="minorHAnsi"/>
          <w:sz w:val="22"/>
          <w:szCs w:val="22"/>
        </w:rPr>
        <w:sectPr w:rsidR="004D0FE0" w:rsidRPr="00E900B4" w:rsidSect="006D7446">
          <w:footerReference w:type="default" r:id="rId16"/>
          <w:footerReference w:type="first" r:id="rId17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236E2E4" w14:textId="77777777" w:rsidR="003F4531" w:rsidRPr="00E900B4" w:rsidRDefault="000B08A0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61" w:name="_Toc70332804"/>
      <w:bookmarkStart w:id="62" w:name="_Toc96602571"/>
      <w:r w:rsidRPr="00E900B4">
        <w:rPr>
          <w:rFonts w:asciiTheme="minorHAnsi" w:hAnsiTheme="minorHAnsi" w:cstheme="minorHAnsi"/>
          <w:sz w:val="22"/>
          <w:szCs w:val="22"/>
        </w:rPr>
        <w:lastRenderedPageBreak/>
        <w:t>IX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61"/>
      <w:bookmarkEnd w:id="62"/>
    </w:p>
    <w:p w14:paraId="5EAAFF32" w14:textId="77777777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610D0E1C" w14:textId="77777777" w:rsidR="00CD0ADA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4A13BC">
        <w:rPr>
          <w:rFonts w:asciiTheme="minorHAnsi" w:hAnsiTheme="minorHAnsi" w:cstheme="minorHAnsi"/>
          <w:sz w:val="22"/>
          <w:szCs w:val="22"/>
        </w:rPr>
        <w:t>I</w:t>
      </w:r>
      <w:r w:rsidR="0046327A">
        <w:rPr>
          <w:rFonts w:asciiTheme="minorHAnsi" w:hAnsiTheme="minorHAnsi" w:cstheme="minorHAnsi"/>
          <w:sz w:val="22"/>
          <w:szCs w:val="22"/>
        </w:rPr>
        <w:t>I</w:t>
      </w:r>
      <w:r w:rsidR="00CA5598">
        <w:rPr>
          <w:rFonts w:asciiTheme="minorHAnsi" w:hAnsiTheme="minorHAnsi" w:cstheme="minorHAnsi"/>
          <w:sz w:val="22"/>
          <w:szCs w:val="22"/>
        </w:rPr>
        <w:t>I</w:t>
      </w:r>
      <w:r w:rsidR="0029103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91036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291036">
        <w:rPr>
          <w:rFonts w:asciiTheme="minorHAnsi" w:hAnsiTheme="minorHAnsi" w:cstheme="minorHAnsi"/>
          <w:sz w:val="22"/>
          <w:szCs w:val="22"/>
        </w:rPr>
        <w:t xml:space="preserve"> 2022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83127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75" w:rsidRPr="00E900B4">
        <w:rPr>
          <w:rFonts w:asciiTheme="minorHAnsi" w:hAnsiTheme="minorHAnsi" w:cstheme="minorHAnsi"/>
          <w:sz w:val="22"/>
          <w:szCs w:val="22"/>
        </w:rPr>
        <w:t>predano</w:t>
      </w:r>
      <w:proofErr w:type="spellEnd"/>
      <w:r w:rsidR="0083127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A5598">
        <w:rPr>
          <w:rFonts w:asciiTheme="minorHAnsi" w:hAnsiTheme="minorHAnsi" w:cstheme="minorHAnsi"/>
          <w:b/>
          <w:sz w:val="22"/>
          <w:szCs w:val="22"/>
        </w:rPr>
        <w:t>82.155</w:t>
      </w:r>
      <w:r w:rsidR="00542D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A5598">
        <w:rPr>
          <w:rFonts w:asciiTheme="minorHAnsi" w:hAnsiTheme="minorHAnsi" w:cstheme="minorHAnsi"/>
          <w:b/>
          <w:sz w:val="22"/>
          <w:szCs w:val="22"/>
        </w:rPr>
        <w:t>83.018</w:t>
      </w:r>
      <w:r w:rsidR="009244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4CE3260E" w14:textId="77777777" w:rsidR="000D3B43" w:rsidRPr="00E900B4" w:rsidRDefault="00691DD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="00CD0ADA">
        <w:rPr>
          <w:rFonts w:asciiTheme="minorHAnsi" w:hAnsiTheme="minorHAnsi" w:cstheme="minorHAnsi"/>
          <w:sz w:val="22"/>
          <w:szCs w:val="22"/>
        </w:rPr>
        <w:t>ablici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12.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također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="00B119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="00B119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B119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Hr</w:t>
      </w:r>
      <w:r w:rsidR="008C536B">
        <w:rPr>
          <w:rFonts w:asciiTheme="minorHAnsi" w:hAnsiTheme="minorHAnsi" w:cstheme="minorHAnsi"/>
          <w:sz w:val="22"/>
          <w:szCs w:val="22"/>
        </w:rPr>
        <w:t>vatske</w:t>
      </w:r>
      <w:proofErr w:type="spellEnd"/>
      <w:r w:rsidR="008C53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53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53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536B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8C53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536B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8C53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119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982">
        <w:rPr>
          <w:rFonts w:asciiTheme="minorHAnsi" w:hAnsiTheme="minorHAnsi" w:cstheme="minorHAnsi"/>
          <w:sz w:val="22"/>
          <w:szCs w:val="22"/>
        </w:rPr>
        <w:t>o</w:t>
      </w:r>
      <w:r w:rsidR="00CD0ADA">
        <w:rPr>
          <w:rFonts w:asciiTheme="minorHAnsi" w:hAnsiTheme="minorHAnsi" w:cstheme="minorHAnsi"/>
          <w:sz w:val="22"/>
          <w:szCs w:val="22"/>
        </w:rPr>
        <w:t>vlašteni</w:t>
      </w:r>
      <w:proofErr w:type="spellEnd"/>
      <w:r w:rsidR="00DD2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2235">
        <w:rPr>
          <w:rFonts w:asciiTheme="minorHAnsi" w:hAnsiTheme="minorHAnsi" w:cstheme="minorHAnsi"/>
          <w:sz w:val="22"/>
          <w:szCs w:val="22"/>
        </w:rPr>
        <w:t>korisnici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B11982">
        <w:rPr>
          <w:rFonts w:asciiTheme="minorHAnsi" w:hAnsiTheme="minorHAnsi" w:cstheme="minorHAnsi"/>
          <w:sz w:val="22"/>
          <w:szCs w:val="22"/>
        </w:rPr>
        <w:t xml:space="preserve">. </w:t>
      </w:r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7D7C7" w14:textId="77777777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63" w:name="_Toc505002674"/>
      <w:bookmarkStart w:id="64" w:name="_Toc505002760"/>
      <w:bookmarkStart w:id="65" w:name="_Toc535406771"/>
      <w:bookmarkEnd w:id="60"/>
    </w:p>
    <w:p w14:paraId="165DCE54" w14:textId="77777777" w:rsidR="009E3B8B" w:rsidRDefault="00DB5367" w:rsidP="004D7A58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6" w:name="_Toc70332774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sz w:val="22"/>
          <w:szCs w:val="22"/>
        </w:rPr>
        <w:t>12</w:t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618E1">
        <w:rPr>
          <w:rFonts w:asciiTheme="minorHAnsi" w:hAnsiTheme="minorHAnsi" w:cstheme="minorHAnsi"/>
          <w:b w:val="0"/>
          <w:sz w:val="22"/>
          <w:szCs w:val="22"/>
        </w:rPr>
        <w:t>I</w:t>
      </w:r>
      <w:r w:rsidR="009346FA">
        <w:rPr>
          <w:rFonts w:asciiTheme="minorHAnsi" w:hAnsiTheme="minorHAnsi" w:cstheme="minorHAnsi"/>
          <w:b w:val="0"/>
          <w:sz w:val="22"/>
          <w:szCs w:val="22"/>
        </w:rPr>
        <w:t>I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29103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291036">
        <w:rPr>
          <w:rFonts w:asciiTheme="minorHAnsi" w:hAnsiTheme="minorHAnsi" w:cstheme="minorHAnsi"/>
          <w:b w:val="0"/>
          <w:sz w:val="22"/>
          <w:szCs w:val="22"/>
        </w:rPr>
        <w:t>kvartal</w:t>
      </w:r>
      <w:proofErr w:type="spellEnd"/>
      <w:r w:rsidR="00291036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6"/>
    </w:p>
    <w:p w14:paraId="27C1289C" w14:textId="77777777" w:rsidR="002618E1" w:rsidRPr="002618E1" w:rsidRDefault="002618E1" w:rsidP="002618E1"/>
    <w:tbl>
      <w:tblPr>
        <w:tblW w:w="7780" w:type="dxa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60"/>
        <w:gridCol w:w="987"/>
        <w:gridCol w:w="960"/>
        <w:gridCol w:w="2320"/>
      </w:tblGrid>
      <w:tr w:rsidR="00E652C1" w:rsidRPr="00FE3014" w14:paraId="242D3FE1" w14:textId="77777777" w:rsidTr="00E652C1">
        <w:trPr>
          <w:trHeight w:val="635"/>
        </w:trPr>
        <w:tc>
          <w:tcPr>
            <w:tcW w:w="2580" w:type="dxa"/>
            <w:shd w:val="clear" w:color="000000" w:fill="DBDBDB"/>
            <w:noWrap/>
            <w:vAlign w:val="center"/>
            <w:hideMark/>
          </w:tcPr>
          <w:p w14:paraId="383FB613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usluga</w:t>
            </w:r>
            <w:proofErr w:type="spellEnd"/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7F38C2BA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srpanj</w:t>
            </w:r>
            <w:proofErr w:type="spellEnd"/>
          </w:p>
          <w:p w14:paraId="3F9352E1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11DF5E94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kolovoz</w:t>
            </w:r>
            <w:proofErr w:type="spellEnd"/>
          </w:p>
          <w:p w14:paraId="413C0944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373C43B4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rujan</w:t>
            </w:r>
            <w:proofErr w:type="spellEnd"/>
          </w:p>
          <w:p w14:paraId="1DFE2D9B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2320" w:type="dxa"/>
            <w:shd w:val="clear" w:color="000000" w:fill="D9D9D9"/>
            <w:vAlign w:val="center"/>
            <w:hideMark/>
          </w:tcPr>
          <w:p w14:paraId="3B284549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III. </w:t>
            </w: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kvartal</w:t>
            </w:r>
            <w:proofErr w:type="spellEnd"/>
          </w:p>
          <w:p w14:paraId="12F6E148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</w:tr>
      <w:tr w:rsidR="00E652C1" w:rsidRPr="00FE3014" w14:paraId="2D043D15" w14:textId="77777777" w:rsidTr="00E652C1">
        <w:trPr>
          <w:trHeight w:val="315"/>
        </w:trPr>
        <w:tc>
          <w:tcPr>
            <w:tcW w:w="2580" w:type="dxa"/>
            <w:shd w:val="clear" w:color="000000" w:fill="FFC000"/>
            <w:noWrap/>
            <w:vAlign w:val="center"/>
            <w:hideMark/>
          </w:tcPr>
          <w:p w14:paraId="76F86178" w14:textId="77777777" w:rsidR="00E652C1" w:rsidRPr="00FE3014" w:rsidRDefault="00E652C1" w:rsidP="00165EF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Predano</w:t>
            </w:r>
            <w:proofErr w:type="spellEnd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e-</w:t>
            </w: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prijedloga</w:t>
            </w:r>
            <w:proofErr w:type="spellEnd"/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31C0246B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28.675</w:t>
            </w:r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3341DF09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24.099</w:t>
            </w:r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01161EA9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29.381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48A2EA53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82.155</w:t>
            </w:r>
          </w:p>
        </w:tc>
      </w:tr>
      <w:tr w:rsidR="00E652C1" w:rsidRPr="00FE3014" w14:paraId="09F251DF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6A82626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Javni</w:t>
            </w:r>
            <w:proofErr w:type="spellEnd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 xml:space="preserve"> 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bilježnik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C3946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21.558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E187B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18.576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BE0FA9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21.229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056B8C4E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61.363</w:t>
            </w:r>
          </w:p>
        </w:tc>
      </w:tr>
      <w:tr w:rsidR="00E652C1" w:rsidRPr="00FE3014" w14:paraId="2C3392AD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03BA111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Odvjetnik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9EE6D5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4.665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A7B88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3.562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1D783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5.330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5125A4E4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13.557</w:t>
            </w:r>
          </w:p>
        </w:tc>
      </w:tr>
      <w:tr w:rsidR="00E652C1" w:rsidRPr="00FE3014" w14:paraId="0742D498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18EB423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eSpis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192E1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1.854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8CBEB8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1.357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7D71C8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2.004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3C82F6CC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5.215</w:t>
            </w:r>
          </w:p>
        </w:tc>
      </w:tr>
      <w:tr w:rsidR="00E652C1" w:rsidRPr="00FE3014" w14:paraId="56BC9AB0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9E26E96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 xml:space="preserve">DORH 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ukupno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94023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E8223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369A2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818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41683B6D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2.020</w:t>
            </w:r>
          </w:p>
        </w:tc>
      </w:tr>
    </w:tbl>
    <w:p w14:paraId="1C8746D4" w14:textId="77777777" w:rsidR="00444C04" w:rsidRDefault="00444C04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B4F448" w14:textId="77777777" w:rsidR="00E652C1" w:rsidRDefault="00E652C1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80" w:type="dxa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60"/>
        <w:gridCol w:w="987"/>
        <w:gridCol w:w="960"/>
        <w:gridCol w:w="2320"/>
      </w:tblGrid>
      <w:tr w:rsidR="00E652C1" w:rsidRPr="00FE3014" w14:paraId="740B8EAE" w14:textId="77777777" w:rsidTr="00E652C1">
        <w:trPr>
          <w:trHeight w:val="635"/>
        </w:trPr>
        <w:tc>
          <w:tcPr>
            <w:tcW w:w="2580" w:type="dxa"/>
            <w:shd w:val="clear" w:color="000000" w:fill="DBDBDB"/>
            <w:noWrap/>
            <w:vAlign w:val="center"/>
            <w:hideMark/>
          </w:tcPr>
          <w:p w14:paraId="150C29A7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usluga</w:t>
            </w:r>
            <w:proofErr w:type="spellEnd"/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0EA6A7B0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srpanj</w:t>
            </w:r>
            <w:proofErr w:type="spellEnd"/>
          </w:p>
          <w:p w14:paraId="2A7BD15F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6B1BF975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kolovoz</w:t>
            </w:r>
            <w:proofErr w:type="spellEnd"/>
          </w:p>
          <w:p w14:paraId="2B3DF671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03240720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rujan</w:t>
            </w:r>
            <w:proofErr w:type="spellEnd"/>
          </w:p>
          <w:p w14:paraId="18320156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  <w:tc>
          <w:tcPr>
            <w:tcW w:w="2320" w:type="dxa"/>
            <w:shd w:val="clear" w:color="000000" w:fill="D9D9D9"/>
            <w:vAlign w:val="bottom"/>
            <w:hideMark/>
          </w:tcPr>
          <w:p w14:paraId="516A0840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III. </w:t>
            </w: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kvartal</w:t>
            </w:r>
            <w:proofErr w:type="spellEnd"/>
          </w:p>
          <w:p w14:paraId="6BCB5F15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2022.</w:t>
            </w:r>
          </w:p>
        </w:tc>
      </w:tr>
      <w:tr w:rsidR="00E652C1" w:rsidRPr="00FE3014" w14:paraId="3C3C4C9A" w14:textId="77777777" w:rsidTr="00E652C1">
        <w:trPr>
          <w:trHeight w:val="315"/>
        </w:trPr>
        <w:tc>
          <w:tcPr>
            <w:tcW w:w="2580" w:type="dxa"/>
            <w:shd w:val="clear" w:color="000000" w:fill="FFC000"/>
            <w:noWrap/>
            <w:vAlign w:val="center"/>
            <w:hideMark/>
          </w:tcPr>
          <w:p w14:paraId="7A6D9255" w14:textId="77777777" w:rsidR="00E652C1" w:rsidRPr="00FE3014" w:rsidRDefault="00E652C1" w:rsidP="00165EF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izdano</w:t>
            </w:r>
            <w:proofErr w:type="spellEnd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E3014">
              <w:rPr>
                <w:rFonts w:ascii="Calibri" w:eastAsia="Times New Roman" w:hAnsi="Calibri" w:cs="Calibri"/>
                <w:b/>
                <w:bCs/>
                <w:color w:val="000000"/>
              </w:rPr>
              <w:t>izvadaka</w:t>
            </w:r>
            <w:proofErr w:type="spellEnd"/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5893C116" w14:textId="77777777" w:rsidR="00E652C1" w:rsidRPr="00FE3014" w:rsidRDefault="00E652C1" w:rsidP="00165E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28.597</w:t>
            </w:r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37634CB9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24.614</w:t>
            </w:r>
          </w:p>
        </w:tc>
        <w:tc>
          <w:tcPr>
            <w:tcW w:w="960" w:type="dxa"/>
            <w:shd w:val="clear" w:color="000000" w:fill="8497B0"/>
            <w:noWrap/>
            <w:vAlign w:val="center"/>
            <w:hideMark/>
          </w:tcPr>
          <w:p w14:paraId="778325FA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29.807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7D54E0AD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83.018</w:t>
            </w:r>
          </w:p>
        </w:tc>
      </w:tr>
      <w:tr w:rsidR="00E652C1" w:rsidRPr="00FE3014" w14:paraId="55FBE07E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0537E3E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e-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Građani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F099B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18.783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06D88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16.578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6B54D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18.534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69D61BF8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53.895</w:t>
            </w:r>
          </w:p>
        </w:tc>
      </w:tr>
      <w:tr w:rsidR="00E652C1" w:rsidRPr="00FE3014" w14:paraId="3CA3AD8B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AE03517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Javni</w:t>
            </w:r>
            <w:proofErr w:type="spellEnd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 xml:space="preserve"> 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bilježnik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17BBC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D4C6F9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E1F29C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318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24250E56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762</w:t>
            </w:r>
          </w:p>
        </w:tc>
      </w:tr>
      <w:tr w:rsidR="00E652C1" w:rsidRPr="00FE3014" w14:paraId="27E711F5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E457F17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Odvjetnik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98E23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5.942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3ECD6E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4.526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B9A0C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6.584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6D31BB30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17.052</w:t>
            </w:r>
          </w:p>
        </w:tc>
      </w:tr>
      <w:tr w:rsidR="00E652C1" w:rsidRPr="00FE3014" w14:paraId="7BE806C8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6A89EAC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 xml:space="preserve">DORH 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ukupno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C0EF0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1.722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600F4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1.998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F5C8A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2.325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761E1A68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6.045</w:t>
            </w:r>
          </w:p>
        </w:tc>
      </w:tr>
      <w:tr w:rsidR="00E652C1" w:rsidRPr="00FE3014" w14:paraId="5F9FA7A8" w14:textId="77777777" w:rsidTr="00E652C1">
        <w:trPr>
          <w:trHeight w:val="315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F59225E" w14:textId="77777777" w:rsidR="00E652C1" w:rsidRPr="00FE3014" w:rsidRDefault="00E652C1" w:rsidP="00165EFC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</w:rPr>
            </w:pP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Geodetski</w:t>
            </w:r>
            <w:proofErr w:type="spellEnd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 xml:space="preserve"> </w:t>
            </w:r>
            <w:proofErr w:type="spellStart"/>
            <w:r w:rsidRPr="00FE3014">
              <w:rPr>
                <w:rFonts w:ascii="Calibri" w:eastAsia="Times New Roman" w:hAnsi="Calibri" w:cs="Calibri"/>
                <w:i/>
                <w:iCs/>
                <w:color w:val="808080"/>
              </w:rPr>
              <w:t>izvoditelj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81F6D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A8A0A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1.284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E7B9F" w14:textId="77777777" w:rsidR="00E652C1" w:rsidRPr="00FE3014" w:rsidRDefault="00E652C1" w:rsidP="00165EFC">
            <w:pPr>
              <w:jc w:val="center"/>
              <w:rPr>
                <w:rFonts w:ascii="Arial" w:hAnsi="Arial" w:cs="Arial"/>
                <w:color w:val="808080"/>
              </w:rPr>
            </w:pPr>
            <w:r w:rsidRPr="00FE3014">
              <w:rPr>
                <w:rFonts w:ascii="Arial" w:hAnsi="Arial" w:cs="Arial"/>
                <w:color w:val="808080"/>
              </w:rPr>
              <w:t>2.046</w:t>
            </w:r>
          </w:p>
        </w:tc>
        <w:tc>
          <w:tcPr>
            <w:tcW w:w="2320" w:type="dxa"/>
            <w:shd w:val="clear" w:color="000000" w:fill="8497B0"/>
            <w:noWrap/>
            <w:vAlign w:val="center"/>
            <w:hideMark/>
          </w:tcPr>
          <w:p w14:paraId="65D9625E" w14:textId="77777777" w:rsidR="00E652C1" w:rsidRPr="00FE3014" w:rsidRDefault="00E652C1" w:rsidP="00165E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3014">
              <w:rPr>
                <w:rFonts w:ascii="Calibri" w:hAnsi="Calibri" w:cs="Calibri"/>
                <w:b/>
                <w:bCs/>
                <w:color w:val="000000"/>
              </w:rPr>
              <w:t>5.264</w:t>
            </w:r>
          </w:p>
        </w:tc>
      </w:tr>
    </w:tbl>
    <w:p w14:paraId="0AEFCD5F" w14:textId="77777777" w:rsidR="00E652C1" w:rsidRDefault="00E652C1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67A39" w14:textId="77777777" w:rsidR="00546811" w:rsidRDefault="00546811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BA5D7" w14:textId="77777777" w:rsidR="004D7A58" w:rsidRPr="00215401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5401">
        <w:rPr>
          <w:rFonts w:asciiTheme="minorHAnsi" w:hAnsiTheme="minorHAnsi" w:cstheme="minorHAnsi"/>
          <w:sz w:val="22"/>
          <w:szCs w:val="22"/>
        </w:rPr>
        <w:t>U</w:t>
      </w:r>
      <w:r w:rsidR="00C16844" w:rsidRPr="00215401">
        <w:rPr>
          <w:rFonts w:asciiTheme="minorHAnsi" w:hAnsiTheme="minorHAnsi" w:cstheme="minorHAnsi"/>
          <w:sz w:val="22"/>
          <w:szCs w:val="22"/>
        </w:rPr>
        <w:t>sporedbom</w:t>
      </w:r>
      <w:proofErr w:type="spellEnd"/>
      <w:r w:rsidR="00C16844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215401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C16844" w:rsidRPr="0021540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16844" w:rsidRPr="0021540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C16844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21540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6844" w:rsidRPr="00215401">
        <w:rPr>
          <w:rFonts w:asciiTheme="minorHAnsi" w:hAnsiTheme="minorHAnsi" w:cstheme="minorHAnsi"/>
          <w:sz w:val="22"/>
          <w:szCs w:val="22"/>
        </w:rPr>
        <w:t xml:space="preserve"> I</w:t>
      </w:r>
      <w:r w:rsidR="00C87857">
        <w:rPr>
          <w:rFonts w:asciiTheme="minorHAnsi" w:hAnsiTheme="minorHAnsi" w:cstheme="minorHAnsi"/>
          <w:sz w:val="22"/>
          <w:szCs w:val="22"/>
        </w:rPr>
        <w:t>I</w:t>
      </w:r>
      <w:r w:rsidR="00215401" w:rsidRPr="002154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15401" w:rsidRPr="00215401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215401" w:rsidRPr="00215401">
        <w:rPr>
          <w:rFonts w:asciiTheme="minorHAnsi" w:hAnsiTheme="minorHAnsi" w:cstheme="minorHAnsi"/>
          <w:sz w:val="22"/>
          <w:szCs w:val="22"/>
        </w:rPr>
        <w:t xml:space="preserve"> 2022</w:t>
      </w:r>
      <w:r w:rsidR="0092442F" w:rsidRPr="002154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67638" w:rsidRPr="00215401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67638" w:rsidRPr="00215401">
        <w:rPr>
          <w:rFonts w:asciiTheme="minorHAnsi" w:hAnsiTheme="minorHAnsi" w:cstheme="minorHAnsi"/>
          <w:sz w:val="22"/>
          <w:szCs w:val="22"/>
        </w:rPr>
        <w:t xml:space="preserve"> da je u I</w:t>
      </w:r>
      <w:r w:rsidR="00C87857">
        <w:rPr>
          <w:rFonts w:asciiTheme="minorHAnsi" w:hAnsiTheme="minorHAnsi" w:cstheme="minorHAnsi"/>
          <w:sz w:val="22"/>
          <w:szCs w:val="22"/>
        </w:rPr>
        <w:t>I</w:t>
      </w:r>
      <w:r w:rsidR="00215401" w:rsidRPr="00215401">
        <w:rPr>
          <w:rFonts w:asciiTheme="minorHAnsi" w:hAnsiTheme="minorHAnsi" w:cstheme="minorHAnsi"/>
          <w:sz w:val="22"/>
          <w:szCs w:val="22"/>
        </w:rPr>
        <w:t>I</w:t>
      </w:r>
      <w:r w:rsidR="00291036" w:rsidRPr="002154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91036" w:rsidRPr="00215401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291036" w:rsidRPr="00215401">
        <w:rPr>
          <w:rFonts w:asciiTheme="minorHAnsi" w:hAnsiTheme="minorHAnsi" w:cstheme="minorHAnsi"/>
          <w:sz w:val="22"/>
          <w:szCs w:val="22"/>
        </w:rPr>
        <w:t xml:space="preserve"> 2022</w:t>
      </w:r>
      <w:r w:rsidR="00900E07" w:rsidRPr="0021540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5044B0" w:rsidRPr="00215401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5044B0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4B0" w:rsidRPr="0021540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za </w:t>
      </w:r>
      <w:r w:rsidR="00546811">
        <w:rPr>
          <w:rFonts w:asciiTheme="minorHAnsi" w:hAnsiTheme="minorHAnsi" w:cstheme="minorHAnsi"/>
          <w:sz w:val="22"/>
          <w:szCs w:val="22"/>
        </w:rPr>
        <w:t>0,91</w:t>
      </w:r>
      <w:r w:rsidR="009C0DE6" w:rsidRPr="00215401">
        <w:rPr>
          <w:rFonts w:asciiTheme="minorHAnsi" w:hAnsiTheme="minorHAnsi" w:cstheme="minorHAnsi"/>
          <w:sz w:val="22"/>
          <w:szCs w:val="22"/>
        </w:rPr>
        <w:t>%. O</w:t>
      </w:r>
      <w:r w:rsidR="00900E07" w:rsidRPr="00215401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C540F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21540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C540F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21540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C540F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6811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546811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54681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9C0DE6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21540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CD0ADA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21540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C0DE6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215401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C0DE6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21540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C0DE6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21540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7A7BDC" w:rsidRPr="00215401">
        <w:rPr>
          <w:rFonts w:asciiTheme="minorHAnsi" w:hAnsiTheme="minorHAnsi" w:cstheme="minorHAnsi"/>
          <w:sz w:val="22"/>
          <w:szCs w:val="22"/>
        </w:rPr>
        <w:t xml:space="preserve"> za</w:t>
      </w:r>
      <w:r w:rsidR="00546811">
        <w:rPr>
          <w:rFonts w:asciiTheme="minorHAnsi" w:hAnsiTheme="minorHAnsi" w:cstheme="minorHAnsi"/>
          <w:sz w:val="22"/>
          <w:szCs w:val="22"/>
        </w:rPr>
        <w:t xml:space="preserve"> 4,37</w:t>
      </w:r>
      <w:r w:rsidR="00900E07" w:rsidRPr="00215401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900E07" w:rsidRPr="0021540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D0ADA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215401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CD0ADA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21540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CD0ADA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215401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A7BDC" w:rsidRPr="00215401">
        <w:rPr>
          <w:rFonts w:asciiTheme="minorHAnsi" w:hAnsiTheme="minorHAnsi" w:cstheme="minorHAnsi"/>
          <w:sz w:val="22"/>
          <w:szCs w:val="22"/>
        </w:rPr>
        <w:t xml:space="preserve"> za</w:t>
      </w:r>
      <w:r w:rsidR="007C540F" w:rsidRPr="00215401">
        <w:rPr>
          <w:rFonts w:asciiTheme="minorHAnsi" w:hAnsiTheme="minorHAnsi" w:cstheme="minorHAnsi"/>
          <w:sz w:val="22"/>
          <w:szCs w:val="22"/>
        </w:rPr>
        <w:t xml:space="preserve"> </w:t>
      </w:r>
      <w:r w:rsidR="00546811">
        <w:rPr>
          <w:rFonts w:asciiTheme="minorHAnsi" w:hAnsiTheme="minorHAnsi" w:cstheme="minorHAnsi"/>
          <w:sz w:val="22"/>
          <w:szCs w:val="22"/>
        </w:rPr>
        <w:t>36,42</w:t>
      </w:r>
      <w:r w:rsidR="00037A88" w:rsidRPr="00215401">
        <w:rPr>
          <w:rFonts w:asciiTheme="minorHAnsi" w:hAnsiTheme="minorHAnsi" w:cstheme="minorHAnsi"/>
          <w:sz w:val="22"/>
          <w:szCs w:val="22"/>
        </w:rPr>
        <w:t xml:space="preserve">%, </w:t>
      </w:r>
      <w:r w:rsidR="0054681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546811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546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681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215401" w:rsidRPr="00215401">
        <w:rPr>
          <w:rFonts w:asciiTheme="minorHAnsi" w:hAnsiTheme="minorHAnsi" w:cstheme="minorHAnsi"/>
          <w:sz w:val="22"/>
          <w:szCs w:val="22"/>
        </w:rPr>
        <w:t xml:space="preserve"> za </w:t>
      </w:r>
      <w:r w:rsidR="00546811">
        <w:rPr>
          <w:rFonts w:asciiTheme="minorHAnsi" w:hAnsiTheme="minorHAnsi" w:cstheme="minorHAnsi"/>
          <w:sz w:val="22"/>
          <w:szCs w:val="22"/>
        </w:rPr>
        <w:t>9,44</w:t>
      </w:r>
      <w:r w:rsidR="00215401" w:rsidRPr="00215401">
        <w:rPr>
          <w:rFonts w:asciiTheme="minorHAnsi" w:hAnsiTheme="minorHAnsi" w:cstheme="minorHAnsi"/>
          <w:sz w:val="22"/>
          <w:szCs w:val="22"/>
        </w:rPr>
        <w:t xml:space="preserve">%, </w:t>
      </w:r>
      <w:r w:rsidR="00037A88" w:rsidRPr="00215401">
        <w:rPr>
          <w:rFonts w:asciiTheme="minorHAnsi" w:hAnsiTheme="minorHAnsi" w:cstheme="minorHAnsi"/>
          <w:sz w:val="22"/>
          <w:szCs w:val="22"/>
        </w:rPr>
        <w:t>a</w:t>
      </w:r>
      <w:r w:rsidR="002A71D5" w:rsidRPr="00215401">
        <w:rPr>
          <w:rFonts w:asciiTheme="minorHAnsi" w:hAnsiTheme="minorHAnsi" w:cstheme="minorHAnsi"/>
          <w:sz w:val="22"/>
          <w:szCs w:val="22"/>
        </w:rPr>
        <w:t xml:space="preserve"> od</w:t>
      </w:r>
      <w:r w:rsidR="00CD0ADA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215401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CD0ADA" w:rsidRPr="00215401">
        <w:rPr>
          <w:rFonts w:asciiTheme="minorHAnsi" w:hAnsiTheme="minorHAnsi" w:cstheme="minorHAnsi"/>
          <w:sz w:val="22"/>
          <w:szCs w:val="22"/>
        </w:rPr>
        <w:t xml:space="preserve"> DORH</w:t>
      </w:r>
      <w:r w:rsidR="00900E07" w:rsidRPr="00215401">
        <w:rPr>
          <w:rFonts w:asciiTheme="minorHAnsi" w:hAnsiTheme="minorHAnsi" w:cstheme="minorHAnsi"/>
          <w:sz w:val="22"/>
          <w:szCs w:val="22"/>
        </w:rPr>
        <w:t>-a</w:t>
      </w:r>
      <w:r w:rsidR="003B06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0646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B0646">
        <w:rPr>
          <w:rFonts w:asciiTheme="minorHAnsi" w:hAnsiTheme="minorHAnsi" w:cstheme="minorHAnsi"/>
          <w:sz w:val="22"/>
          <w:szCs w:val="22"/>
        </w:rPr>
        <w:t xml:space="preserve"> je do</w:t>
      </w:r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6811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4FCD" w:rsidRPr="0021540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3F4FCD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4FCD" w:rsidRPr="00215401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3F4FCD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4FCD" w:rsidRPr="0021540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3F4FCD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4FCD" w:rsidRPr="0021540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3F4FCD" w:rsidRPr="0021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4FCD" w:rsidRPr="0021540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3F4FCD" w:rsidRPr="00215401">
        <w:rPr>
          <w:rFonts w:asciiTheme="minorHAnsi" w:hAnsiTheme="minorHAnsi" w:cstheme="minorHAnsi"/>
          <w:sz w:val="22"/>
          <w:szCs w:val="22"/>
        </w:rPr>
        <w:t xml:space="preserve"> </w:t>
      </w:r>
      <w:r w:rsidR="007A7BDC" w:rsidRPr="00215401">
        <w:rPr>
          <w:rFonts w:asciiTheme="minorHAnsi" w:hAnsiTheme="minorHAnsi" w:cstheme="minorHAnsi"/>
          <w:sz w:val="22"/>
          <w:szCs w:val="22"/>
        </w:rPr>
        <w:t>za</w:t>
      </w:r>
      <w:r w:rsidR="00900E07" w:rsidRPr="00215401">
        <w:rPr>
          <w:rFonts w:asciiTheme="minorHAnsi" w:hAnsiTheme="minorHAnsi" w:cstheme="minorHAnsi"/>
          <w:sz w:val="22"/>
          <w:szCs w:val="22"/>
        </w:rPr>
        <w:t xml:space="preserve"> </w:t>
      </w:r>
      <w:r w:rsidR="00546811">
        <w:rPr>
          <w:rFonts w:asciiTheme="minorHAnsi" w:hAnsiTheme="minorHAnsi" w:cstheme="minorHAnsi"/>
          <w:sz w:val="22"/>
          <w:szCs w:val="22"/>
        </w:rPr>
        <w:t>30,99</w:t>
      </w:r>
      <w:r w:rsidR="00CD0ADA" w:rsidRPr="00215401">
        <w:rPr>
          <w:rFonts w:asciiTheme="minorHAnsi" w:hAnsiTheme="minorHAnsi" w:cstheme="minorHAnsi"/>
          <w:sz w:val="22"/>
          <w:szCs w:val="22"/>
        </w:rPr>
        <w:t>%</w:t>
      </w:r>
      <w:r w:rsidR="00ED3A72" w:rsidRPr="00215401">
        <w:rPr>
          <w:rFonts w:asciiTheme="minorHAnsi" w:hAnsiTheme="minorHAnsi" w:cstheme="minorHAnsi"/>
          <w:sz w:val="22"/>
          <w:szCs w:val="22"/>
        </w:rPr>
        <w:t>.</w:t>
      </w:r>
      <w:r w:rsidR="009C0DE6" w:rsidRPr="002154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5E760" w14:textId="77777777" w:rsidR="00900E07" w:rsidRPr="0046327A" w:rsidRDefault="00900E07" w:rsidP="00A719F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89FF2E" w14:textId="77777777" w:rsidR="00A65093" w:rsidRPr="00E900B4" w:rsidRDefault="00A65093" w:rsidP="00A65093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530F4F1E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7" w:name="_Toc70333484"/>
    </w:p>
    <w:p w14:paraId="0D5B0FB6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9767C79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1923979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1B3B92F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6D4454D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8734CF3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A5BE60A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294C65B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08A57CB" w14:textId="77777777" w:rsidR="00677BED" w:rsidRDefault="00677BE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656CC35" w14:textId="77777777" w:rsidR="005F3D86" w:rsidRDefault="005F3D86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AE4CF58" w14:textId="77777777" w:rsidR="005F3D86" w:rsidRDefault="005F3D86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56F31E63" w14:textId="77777777" w:rsidR="00E35E19" w:rsidRDefault="00E35E19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7E19761" w14:textId="77777777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4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AC5E70" w:rsidRPr="00AC5E70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AC5E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7"/>
      <w:proofErr w:type="spellEnd"/>
    </w:p>
    <w:p w14:paraId="34792ECB" w14:textId="77777777" w:rsidR="00DF48F9" w:rsidRDefault="00CE3559" w:rsidP="00DF48F9"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03E050F4" wp14:editId="4F8E455B">
            <wp:simplePos x="0" y="0"/>
            <wp:positionH relativeFrom="column">
              <wp:posOffset>413487</wp:posOffset>
            </wp:positionH>
            <wp:positionV relativeFrom="paragraph">
              <wp:posOffset>286817</wp:posOffset>
            </wp:positionV>
            <wp:extent cx="5485765" cy="2223770"/>
            <wp:effectExtent l="0" t="0" r="635" b="5080"/>
            <wp:wrapTopAndBottom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2804F152" w14:textId="77777777" w:rsidR="00291036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AAACE1" w14:textId="77777777" w:rsidR="00E2510F" w:rsidRDefault="00E2510F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B728A1" w14:textId="77777777" w:rsidR="005F3D86" w:rsidRDefault="005F3D86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E69C1" w14:textId="77777777" w:rsidR="00121FF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I</w:t>
      </w:r>
      <w:r w:rsidR="005F71CD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202</w:t>
      </w:r>
      <w:r w:rsidR="00215401">
        <w:rPr>
          <w:rFonts w:asciiTheme="minorHAnsi" w:hAnsiTheme="minorHAnsi" w:cstheme="minorHAnsi"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5F71CD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="005F71CD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5F71C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5F71CD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5F71CD">
        <w:rPr>
          <w:rFonts w:asciiTheme="minorHAnsi" w:hAnsiTheme="minorHAnsi" w:cstheme="minorHAnsi"/>
          <w:sz w:val="22"/>
          <w:szCs w:val="22"/>
        </w:rPr>
        <w:t xml:space="preserve"> 86.653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BD3A72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I</w:t>
      </w:r>
      <w:r w:rsidR="005F71CD">
        <w:rPr>
          <w:rFonts w:asciiTheme="minorHAnsi" w:hAnsiTheme="minorHAnsi" w:cstheme="minorHAnsi"/>
          <w:sz w:val="22"/>
          <w:szCs w:val="22"/>
        </w:rPr>
        <w:t>I</w:t>
      </w:r>
      <w:r w:rsidR="00215401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D0ADA">
        <w:rPr>
          <w:rFonts w:asciiTheme="minorHAnsi" w:hAnsiTheme="minorHAnsi" w:cstheme="minorHAnsi"/>
          <w:sz w:val="22"/>
          <w:szCs w:val="22"/>
        </w:rPr>
        <w:t>2022</w:t>
      </w:r>
      <w:r w:rsidR="00BD3A72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3447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E344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5F71CD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F4755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izva</w:t>
      </w:r>
      <w:r w:rsidR="00264F58" w:rsidRPr="00E900B4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5F71CD">
        <w:rPr>
          <w:rFonts w:asciiTheme="minorHAnsi" w:hAnsiTheme="minorHAnsi" w:cstheme="minorHAnsi"/>
          <w:sz w:val="22"/>
          <w:szCs w:val="22"/>
        </w:rPr>
        <w:t>4,19</w:t>
      </w:r>
      <w:r w:rsidR="00121FFD">
        <w:rPr>
          <w:rFonts w:asciiTheme="minorHAnsi" w:hAnsiTheme="minorHAnsi" w:cstheme="minorHAnsi"/>
          <w:sz w:val="22"/>
          <w:szCs w:val="22"/>
        </w:rPr>
        <w:t>%.</w:t>
      </w:r>
    </w:p>
    <w:p w14:paraId="0F4BCC9C" w14:textId="77777777" w:rsidR="00FB0D1D" w:rsidRPr="00E900B4" w:rsidRDefault="00121FFD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Baze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 w:rsidR="006B61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69F538B0" w14:textId="77777777" w:rsidR="00A719FB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7F8CA4BB" w14:textId="77777777" w:rsidR="00121FFD" w:rsidRPr="003D24E0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5198903F" w14:textId="77777777" w:rsidR="00BB226F" w:rsidRPr="00BB226F" w:rsidRDefault="006333E3" w:rsidP="006333E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8" w:name="_Toc70333485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5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8"/>
      <w:proofErr w:type="spellEnd"/>
    </w:p>
    <w:p w14:paraId="64E29388" w14:textId="77777777" w:rsidR="00BB226F" w:rsidRDefault="00BB226F" w:rsidP="00BB226F"/>
    <w:p w14:paraId="6342AFA8" w14:textId="77777777" w:rsidR="00BB226F" w:rsidRPr="00BB226F" w:rsidRDefault="00F6637D" w:rsidP="00BB226F"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59776" behindDoc="0" locked="0" layoutInCell="1" allowOverlap="1" wp14:anchorId="20078E0D" wp14:editId="5CE141F7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9A56A" w14:textId="77777777" w:rsidR="00EA4273" w:rsidRPr="00E900B4" w:rsidRDefault="00EA4273" w:rsidP="00EA4273">
      <w:pPr>
        <w:rPr>
          <w:rFonts w:asciiTheme="minorHAnsi" w:hAnsiTheme="minorHAnsi" w:cstheme="minorHAnsi"/>
          <w:sz w:val="22"/>
          <w:szCs w:val="22"/>
        </w:rPr>
      </w:pPr>
    </w:p>
    <w:p w14:paraId="5A2B7DC4" w14:textId="77777777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84B320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6AD8B42E" w14:textId="77777777" w:rsidR="008A00E4" w:rsidRPr="00E900B4" w:rsidRDefault="008A00E4" w:rsidP="008A00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853596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0F656C20" w14:textId="77777777" w:rsidR="0066041A" w:rsidRPr="00E900B4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9" w:name="_Toc487524697"/>
      <w:bookmarkStart w:id="70" w:name="_Toc29545097"/>
      <w:bookmarkStart w:id="71" w:name="_Toc70332805"/>
      <w:bookmarkStart w:id="72" w:name="_Toc96602572"/>
      <w:bookmarkStart w:id="73" w:name="_Toc505002679"/>
      <w:bookmarkStart w:id="74" w:name="_Toc505002766"/>
      <w:bookmarkStart w:id="75" w:name="_Toc535406775"/>
      <w:bookmarkEnd w:id="63"/>
      <w:bookmarkEnd w:id="64"/>
      <w:bookmarkEnd w:id="65"/>
      <w:r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 xml:space="preserve">X. PRAĆENJE AKTIVNOSTI ZEMLJIŠNOKNJIŽNIH ODJELA OD KOLOVOZA 2004. DO </w:t>
      </w:r>
      <w:bookmarkEnd w:id="69"/>
      <w:r w:rsidR="00C05D1E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30</w:t>
      </w:r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70"/>
      <w:r w:rsidR="00CC7690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RUJNA 2</w:t>
      </w:r>
      <w:r w:rsidR="00B1198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022</w:t>
      </w:r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71"/>
      <w:bookmarkEnd w:id="72"/>
    </w:p>
    <w:p w14:paraId="40F1B6AE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A0DC0" w14:textId="77777777" w:rsidR="008B5CFC" w:rsidRPr="0019461B" w:rsidRDefault="008B5CFC" w:rsidP="008B5CFC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6147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2022</w:t>
      </w:r>
      <w:r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6B614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9.102.535</w:t>
      </w:r>
      <w:r w:rsidR="0019461B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B85B74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predmet</w:t>
      </w:r>
      <w:r w:rsidR="006B61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3425E0" w:rsidRPr="001946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588F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9.</w:t>
      </w:r>
      <w:r w:rsidR="006B614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408.938</w:t>
      </w:r>
      <w:r w:rsidR="0019461B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19461B" w:rsidRPr="0019461B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24</w:t>
      </w:r>
      <w:r w:rsidR="0004588F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6B6147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500.715</w:t>
      </w:r>
      <w:r w:rsidR="0019461B" w:rsidRPr="0019461B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</w:t>
      </w:r>
      <w:proofErr w:type="spellStart"/>
      <w:r w:rsidR="0048179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481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1794">
        <w:rPr>
          <w:rFonts w:asciiTheme="minorHAnsi" w:hAnsiTheme="minorHAnsi" w:cstheme="minorHAnsi"/>
          <w:sz w:val="22"/>
          <w:szCs w:val="22"/>
        </w:rPr>
        <w:t>izvadak</w:t>
      </w:r>
      <w:r w:rsidRP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>.</w:t>
      </w:r>
    </w:p>
    <w:p w14:paraId="7AEE3EBC" w14:textId="77777777" w:rsidR="008B5CFC" w:rsidRPr="000C6B0C" w:rsidRDefault="008B5CFC" w:rsidP="006604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E9B726" w14:textId="77777777" w:rsidR="0066041A" w:rsidRPr="0019461B" w:rsidRDefault="00784FBA" w:rsidP="0066041A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>O</w:t>
      </w:r>
      <w:r w:rsidR="004A7343" w:rsidRPr="0019461B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6B6147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="006B6147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="006B6147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="006B61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6147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84097C" w:rsidRPr="0019461B">
        <w:rPr>
          <w:rFonts w:asciiTheme="minorHAnsi" w:hAnsiTheme="minorHAnsi" w:cstheme="minorHAnsi"/>
          <w:sz w:val="22"/>
          <w:szCs w:val="22"/>
        </w:rPr>
        <w:t xml:space="preserve"> 202</w:t>
      </w:r>
      <w:r w:rsidR="00B42179" w:rsidRPr="0019461B">
        <w:rPr>
          <w:rFonts w:asciiTheme="minorHAnsi" w:hAnsiTheme="minorHAnsi" w:cstheme="minorHAnsi"/>
          <w:sz w:val="22"/>
          <w:szCs w:val="22"/>
        </w:rPr>
        <w:t>2</w:t>
      </w:r>
      <w:r w:rsidR="0084097C"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neriješeni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smanjili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se za </w:t>
      </w:r>
      <w:r w:rsidR="006B6147">
        <w:rPr>
          <w:rFonts w:asciiTheme="minorHAnsi" w:hAnsiTheme="minorHAnsi" w:cstheme="minorHAnsi"/>
          <w:b/>
          <w:sz w:val="22"/>
          <w:szCs w:val="22"/>
        </w:rPr>
        <w:t>85,50</w:t>
      </w:r>
      <w:r w:rsidR="00E34C10" w:rsidRPr="0019461B">
        <w:rPr>
          <w:rFonts w:asciiTheme="minorHAnsi" w:hAnsiTheme="minorHAnsi" w:cstheme="minorHAnsi"/>
          <w:b/>
          <w:sz w:val="22"/>
          <w:szCs w:val="22"/>
        </w:rPr>
        <w:t>%</w:t>
      </w:r>
      <w:r w:rsidR="0066041A" w:rsidRPr="0019461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za </w:t>
      </w:r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6B614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307.599</w:t>
      </w:r>
      <w:proofErr w:type="gramEnd"/>
      <w:r w:rsidR="00E73F74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predmet</w:t>
      </w:r>
      <w:r w:rsid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23E23B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AB878" w14:textId="77777777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6" w:name="_Toc70333486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CD4885">
        <w:rPr>
          <w:rFonts w:asciiTheme="minorHAnsi" w:hAnsiTheme="minorHAnsi" w:cstheme="minorHAnsi"/>
          <w:noProof/>
          <w:sz w:val="22"/>
          <w:szCs w:val="22"/>
        </w:rPr>
        <w:t>6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bookmarkStart w:id="77" w:name="_Toc29545065"/>
      <w:bookmarkStart w:id="78" w:name="_Toc487525906"/>
      <w:bookmarkStart w:id="79" w:name="_Toc16576531"/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2F2C5B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4D1F8F">
        <w:rPr>
          <w:rFonts w:asciiTheme="minorHAnsi" w:hAnsiTheme="minorHAnsi" w:cstheme="minorHAnsi"/>
          <w:b w:val="0"/>
          <w:bCs w:val="0"/>
          <w:sz w:val="22"/>
          <w:szCs w:val="22"/>
        </w:rPr>
        <w:t>rujna</w:t>
      </w:r>
      <w:proofErr w:type="spellEnd"/>
      <w:r w:rsidR="000C6B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2022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6"/>
      <w:bookmarkEnd w:id="77"/>
      <w:bookmarkEnd w:id="78"/>
      <w:bookmarkEnd w:id="79"/>
    </w:p>
    <w:p w14:paraId="68738E8F" w14:textId="77777777" w:rsidR="00F967AE" w:rsidRPr="00F967AE" w:rsidRDefault="00F967AE" w:rsidP="00F967AE"/>
    <w:p w14:paraId="34310248" w14:textId="77777777" w:rsidR="005F4743" w:rsidRDefault="005F4743" w:rsidP="005F4743"/>
    <w:p w14:paraId="57314112" w14:textId="77777777" w:rsidR="005F4743" w:rsidRDefault="004D1F8F" w:rsidP="005F4743">
      <w:pPr>
        <w:jc w:val="center"/>
      </w:pPr>
      <w:r>
        <w:rPr>
          <w:noProof/>
        </w:rPr>
        <w:drawing>
          <wp:inline distT="0" distB="0" distL="0" distR="0" wp14:anchorId="48AC983E" wp14:editId="20595180">
            <wp:extent cx="5621573" cy="2886324"/>
            <wp:effectExtent l="0" t="0" r="17780" b="9525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79A433B" w14:textId="77777777" w:rsidR="005F4743" w:rsidRDefault="005F4743" w:rsidP="005F4743"/>
    <w:p w14:paraId="1411F34C" w14:textId="77777777" w:rsidR="005F4743" w:rsidRDefault="005F4743" w:rsidP="005F4743"/>
    <w:p w14:paraId="0FAF5B51" w14:textId="77777777" w:rsidR="005F4743" w:rsidRDefault="005F4743" w:rsidP="005F4743"/>
    <w:p w14:paraId="554EE873" w14:textId="77777777" w:rsidR="005F4743" w:rsidRPr="005F4743" w:rsidRDefault="005F4743" w:rsidP="005F4743"/>
    <w:p w14:paraId="4F385C31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35AA87" w14:textId="77777777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DBD801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DFA8BD5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FD352AE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17B10D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1CF049BE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4949C7FA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9A660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C08192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7AFEF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651AE5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1C5B070" w14:textId="77777777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80" w:name="_Toc487523128"/>
      <w:bookmarkStart w:id="81" w:name="_Toc487523598"/>
      <w:bookmarkStart w:id="82" w:name="_Toc487524698"/>
      <w:bookmarkStart w:id="83" w:name="_Toc487525907"/>
      <w:bookmarkStart w:id="84" w:name="_Toc16576533"/>
      <w:bookmarkStart w:id="85" w:name="_Toc29545056"/>
      <w:bookmarkStart w:id="86" w:name="_Toc70332775"/>
      <w:proofErr w:type="spellStart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5EC9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586230">
        <w:rPr>
          <w:rFonts w:asciiTheme="minorHAnsi" w:hAnsiTheme="minorHAnsi" w:cstheme="minorHAnsi"/>
          <w:bCs/>
          <w:sz w:val="22"/>
          <w:szCs w:val="22"/>
          <w:lang w:val="hr-HR"/>
        </w:rPr>
        <w:t>30</w:t>
      </w:r>
      <w:r w:rsidR="00D611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58445C">
        <w:rPr>
          <w:rFonts w:asciiTheme="minorHAnsi" w:hAnsiTheme="minorHAnsi" w:cstheme="minorHAnsi"/>
          <w:bCs/>
          <w:sz w:val="22"/>
          <w:szCs w:val="22"/>
          <w:lang w:val="hr-HR"/>
        </w:rPr>
        <w:t>rujna</w:t>
      </w:r>
      <w:r w:rsidR="00D611D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2022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280E978C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9C4C41" w14:paraId="709E0EF7" w14:textId="77777777" w:rsidTr="00E672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2D8AE0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D99FA8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2D8DD2" w14:textId="77777777" w:rsidR="00E67296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29A69DA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FA42D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E4118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680F14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BB457E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E67296" w:rsidRPr="009C4C41" w14:paraId="7095D632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AD6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CD2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3F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5111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B72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F2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80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9C4C41" w14:paraId="2B8D76F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8C5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A1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DCC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99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7E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BE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8E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9C4C41" w14:paraId="4B92E46E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22B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D8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63A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09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6B2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A1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C8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9C4C41" w14:paraId="64B988E4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DCE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C9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28A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AB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89A9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A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06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CC589BD" w14:textId="77777777" w:rsidR="00E67296" w:rsidRPr="009C4C41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0141FB9E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217C388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B5E9BB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788819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2AE149F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FDE573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C51A2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88E19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94464F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FE2D15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B84EBF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5E218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739F39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3541D73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9EB4FF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68C7C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5C3C99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31AAD6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EC165E" w14:paraId="48B63B9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EF55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6A9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07F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5D0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CEA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BE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173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DD1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BC9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46B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C93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7B6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12C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39C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EC165E" w14:paraId="0D4B6E88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07D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AF5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BBA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CD9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E98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D6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0C8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728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76D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BD8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5FC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FB3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F6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C21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EC165E" w14:paraId="759BE68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152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20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9D5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ED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60D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AE4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F75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AA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1E3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8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A98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7D6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BEB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8A2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EC165E" w14:paraId="7908A379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488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0BF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966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5DF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6D5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099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F7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B66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F7D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C0F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464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F26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2BE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633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5B745F61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24A0E37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7BE0F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72E7B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5C30D60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88F0C3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2D3FBF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974DFE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BDB5B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FF06148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D0C50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24388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79A2ED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0104FCF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68CB3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A4A08F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547430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9E22B38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2006.</w:t>
            </w:r>
          </w:p>
        </w:tc>
      </w:tr>
      <w:tr w:rsidR="00EC165E" w:rsidRPr="00EC165E" w14:paraId="4276B3C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9AE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A89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968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76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31A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DE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90E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CDD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BE7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24D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DE2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C27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BEA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E71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EC165E" w14:paraId="4AF1C83F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6DA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48E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DBE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DF4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5C6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943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CF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2DE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2C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D5D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F95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579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86B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961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EC165E" w14:paraId="04AFA970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53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76F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19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9FE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11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31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A18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C72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FA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A52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E0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D1D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82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992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EC165E" w14:paraId="23145959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D95E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E76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543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DC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89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12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F52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C5B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C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7FC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9D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939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7C7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CA0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5EB4724A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20417A2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915B3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665BF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BE3425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875BAA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785B25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16A29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2697565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2C9700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4DC335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AB107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A44A8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50CAE83E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3C60E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5E313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E94019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F0F1265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2007.</w:t>
            </w:r>
          </w:p>
        </w:tc>
      </w:tr>
      <w:tr w:rsidR="00EC165E" w:rsidRPr="00EC165E" w14:paraId="749BD69E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966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55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6AC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0BE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213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3BE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0A7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DAB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3D8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F2C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E0A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61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B4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EF3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EC165E" w14:paraId="1FB509D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54FA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ABC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F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724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5C3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943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3E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486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F64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FD1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679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19C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9B8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2E0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EC165E" w14:paraId="63CF365E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D05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021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91E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46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69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FC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D7D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8D4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AB4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704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111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42C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62B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528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EC165E" w14:paraId="2386709F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8C8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E1F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61C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C6B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2A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D6C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8C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2B2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AB4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4F9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1E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143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87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07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779B380F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18C28F6A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7B0481A3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0BE56774" w14:textId="77777777" w:rsidTr="004554D0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6EE49E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E959D7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3CC614B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15F62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390A35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ED7E9E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C35D2F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EBD5A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D6F516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29408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40DAC6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7B9C093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C1A715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7B529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F1CADA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A3F5D2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2008.</w:t>
            </w:r>
          </w:p>
        </w:tc>
      </w:tr>
      <w:tr w:rsidR="00B44566" w:rsidRPr="00B44566" w14:paraId="0D149D81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8F2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A5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6DB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F6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F7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0CF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2F9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18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87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C0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28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96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DCD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6D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B44566" w14:paraId="6BA0264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28A4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00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09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D93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855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7E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91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124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B9A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70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F1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53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7C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61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B44566" w14:paraId="068FF9C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945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53E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8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3F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2D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D4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2B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28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CC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52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5B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73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6E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EA8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B44566" w14:paraId="7D8D4976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39D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7C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2A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D42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A9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D89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97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4B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84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472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E3C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55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AF6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12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30482563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40B1FD64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CF01A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27E864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5AF3521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A17B4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502FF6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F0BE2A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6025C1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394705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0A7A9F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B2FCD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E6F6F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0E9DAE8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3C9B5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A1FA0C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A680C7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4B4371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2009.</w:t>
            </w:r>
          </w:p>
        </w:tc>
      </w:tr>
      <w:tr w:rsidR="00B44566" w:rsidRPr="00B44566" w14:paraId="640B0A6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BA6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AE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EB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82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D6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C9C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99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E5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D3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16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44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610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27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2B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B44566" w14:paraId="0B39049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32D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939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034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95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5A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D0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753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ED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A9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2D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77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B3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AD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33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B44566" w14:paraId="6A8B5C3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3F1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23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D0E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99C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D3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0B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6D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C6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4C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82E9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7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99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B5E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26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B44566" w14:paraId="002DD056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C24E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351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0F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27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0C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2E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889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258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7EE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86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A9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C1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AC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31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789E3613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4818C9B3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8D780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641A56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F72BDC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FE83E7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BB0F86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F356DF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FC8769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87990B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AB16FA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4155C3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427EADD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0DF525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265BF0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45E1B9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955B5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2010.</w:t>
            </w:r>
          </w:p>
        </w:tc>
      </w:tr>
      <w:tr w:rsidR="00B44566" w:rsidRPr="00B44566" w14:paraId="50C9C11B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AE7E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09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7D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EB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65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34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D7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E3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20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5A0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E82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E9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8C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52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480.096</w:t>
            </w:r>
          </w:p>
        </w:tc>
      </w:tr>
      <w:tr w:rsidR="00B44566" w:rsidRPr="00B44566" w14:paraId="505CECD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031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AB3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AA8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DA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4E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A1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5F0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B6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E0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7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CC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9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BA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F2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506.113</w:t>
            </w:r>
          </w:p>
        </w:tc>
      </w:tr>
      <w:tr w:rsidR="00B44566" w:rsidRPr="00B44566" w14:paraId="618F78F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363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B4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4D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E6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352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F86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36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F6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68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08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BA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8E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0F4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D82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B44566" w14:paraId="69CA69B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81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FB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D3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1F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C8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E53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329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DE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4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30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0F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03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A6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74B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15469E80" w14:textId="77777777" w:rsidR="00E76E6D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34944C7F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13B422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7" w:name="RANGE!A50"/>
            <w:bookmarkStart w:id="88" w:name="_Hlk317067509" w:colFirst="1" w:colLast="13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  <w:bookmarkEnd w:id="87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964DD9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D955EB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65E83A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2EE090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0DCCCB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1A7A39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73C8AF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ACD4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95906B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77630FD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E638CE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20BB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D7512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355183B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336B39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2011.</w:t>
            </w:r>
          </w:p>
        </w:tc>
      </w:tr>
      <w:tr w:rsidR="00B44566" w:rsidRPr="00B44566" w14:paraId="3F3CF703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772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1D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641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7F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2F4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44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91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811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6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DB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60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FB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90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422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476.999</w:t>
            </w:r>
          </w:p>
        </w:tc>
      </w:tr>
      <w:tr w:rsidR="00B44566" w:rsidRPr="00B44566" w14:paraId="39A7E25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F8F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20F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C2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AA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483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CF0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0F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ED0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DD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653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9A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C11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1E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7B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486.266</w:t>
            </w:r>
          </w:p>
        </w:tc>
      </w:tr>
      <w:tr w:rsidR="00B44566" w:rsidRPr="00B44566" w14:paraId="1BEB9C8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24A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E6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0F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C42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8A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08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69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7B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F5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94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AF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79D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1B7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BA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1.484.138</w:t>
            </w:r>
          </w:p>
        </w:tc>
      </w:tr>
      <w:tr w:rsidR="00B44566" w:rsidRPr="00B44566" w14:paraId="0764412E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C10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2F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AC1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0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63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04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F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17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8E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4B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9F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7C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AE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E6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88"/>
    </w:tbl>
    <w:p w14:paraId="2C252FDE" w14:textId="77777777" w:rsidR="00B44566" w:rsidRPr="009C4C41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29AA2D4B" w14:textId="77777777" w:rsidR="00D14B17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00986154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6A30A2B3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0DA872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A7F4FB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120EFA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7959B0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16A17F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E263B4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BBC860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6FA59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82FAD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829852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0BE6F4C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4A341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BC309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9A1D8F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10D651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9EB98F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E5725E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5054DCF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2ADBA5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3DD331F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</w:tr>
      <w:tr w:rsidR="00B44566" w:rsidRPr="00B44566" w14:paraId="218BCF8E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A24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D4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BB2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F8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A4F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97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C4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F5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9E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7B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47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19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F9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AA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B44566" w14:paraId="744A72B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4A5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9C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783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BE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83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E18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820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8C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A6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71B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72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AC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92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04F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B44566" w14:paraId="51A9B1EE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6053" w14:textId="77777777" w:rsidR="001354BD" w:rsidRPr="00B44566" w:rsidRDefault="001354BD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3BAC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286D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A98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6D6A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5427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0B13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A68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6B18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5574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25E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AB9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5A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069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.459.322</w:t>
            </w:r>
          </w:p>
        </w:tc>
      </w:tr>
      <w:tr w:rsidR="00B44566" w:rsidRPr="00B44566" w14:paraId="77495270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E5F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A4F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E5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B1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2F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07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E22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105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9E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0C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FB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3F0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9A5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11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52EC92BD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36021C49" w14:textId="77777777" w:rsidTr="001354BD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8C646D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99841F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128038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71C984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F0BB3C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EFD22D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02ED03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F6078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F8C699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BB96B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1F9150D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4D7B6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28AD1C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229D58B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962280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A6451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6B59E8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208FA81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2F53C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2CAE4E6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</w:tr>
      <w:tr w:rsidR="00B44566" w:rsidRPr="00B44566" w14:paraId="624BB693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DAB7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48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45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509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04A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27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DE4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66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62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3E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86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26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4D1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3C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B44566" w:rsidRPr="00B44566" w14:paraId="40956C4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22E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01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9E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8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15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30D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9E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C6E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E2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F8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3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0E5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34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5D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B44566" w:rsidRPr="00B44566" w14:paraId="184EA6F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AE3E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61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07B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CC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29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0E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B19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B9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C2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C0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5B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5C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19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C7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B44566" w:rsidRPr="00B44566" w14:paraId="3520B0AB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5E4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3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30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BB9D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7F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67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42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FD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AD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2E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6B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53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69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EA5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42264D0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1C626F75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26645F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896B33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668F2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18E0E1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BFD3D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72F85A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5270C4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60E7A2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471D24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1D9D0E5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D3CE97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4D45DD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21712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47FFA44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4E75A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1E04B8E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5331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31F6627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2BFF9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F8281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66F4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0287620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EC8E76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B44566" w:rsidRPr="00B44566" w14:paraId="6AF856B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8A7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8C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4D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52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8C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F8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E5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D59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9C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0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34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C9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62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FB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B44566" w14:paraId="4A13E4B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879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63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89C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F9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4C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B01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BA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C10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992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8F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E5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06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DEA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4CC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B44566" w14:paraId="431D394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9DA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64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77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3D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B76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47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E7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29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329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8B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7E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779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9E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E72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B44566" w14:paraId="0CC4A4F9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59B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05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CD8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87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CE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02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7A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5D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3C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A60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DF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D8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8D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3B6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6EF9A8C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48059B59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ACD406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2C5C0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3D248D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541159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CE6A94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7FA18E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09A7AF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16CF54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0B906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2B0516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130CCC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82C52F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76DC4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45EDDC9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133B72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B44566" w:rsidRPr="00B44566" w14:paraId="5C47F0A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72C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241F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A2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7660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105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5E1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C5A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7BB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8C28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A29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943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95F9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3FB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25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B44566" w14:paraId="235C24A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04F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54A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656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E5A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1DC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6A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BDD7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B61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C0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89EB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E9C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838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80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13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B44566" w14:paraId="62C2104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9B0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6CB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29F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D800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5BC3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3BB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C50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9D3E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26F9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F38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7D8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5EB6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6C3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45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B44566" w14:paraId="729C55D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227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25C0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0DA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9DA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2496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741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E4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976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1B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7C4D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6F4F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FD2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151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766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295166E" w14:textId="77777777" w:rsidR="00B44566" w:rsidRDefault="00B44566" w:rsidP="00B44566"/>
    <w:p w14:paraId="5C8A5C31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23D4" w:rsidRPr="003923D4" w14:paraId="261B6E13" w14:textId="77777777" w:rsidTr="003923D4">
        <w:trPr>
          <w:trHeight w:val="51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2FFA2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412E5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F9873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6C4BD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AA32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0671B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E95B7C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0B7A6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08052D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5F5FE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921438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C2821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A9EEEF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E4131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          2016.</w:t>
            </w:r>
          </w:p>
        </w:tc>
      </w:tr>
      <w:tr w:rsidR="003923D4" w:rsidRPr="003923D4" w14:paraId="002E3FF1" w14:textId="77777777" w:rsidTr="003923D4">
        <w:trPr>
          <w:trHeight w:val="51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A999C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ACD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9C22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9AE6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5732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F53B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A93CD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50BE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23A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2F19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A4C7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3AC8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E54F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673C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923D4" w14:paraId="376643B3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BD8C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F51C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1A7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18CA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E8F0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ED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DD9B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D3E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85B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58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359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F54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162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2E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923D4" w14:paraId="4A69A250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E9F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E9A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95E0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58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2B3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23E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213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49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2CCD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A157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69F0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04BE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CADC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11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923D4" w14:paraId="608D0AB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C50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89CC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441D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E6E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DBA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0807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D88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45C6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9EB2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E39A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FF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97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BB9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24D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923D4" w14:paraId="79EFDFD8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1589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0DB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44F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44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EF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DE4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FC5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1B8C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96F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5FC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BC5E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3D2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CC9E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C47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026B60C7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1317327D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C6C56C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34A221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1E0B427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02D01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53F4CC0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145118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1BF073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885B83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CF8853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51ACBF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3010C0A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BB269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5FC49F4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2090D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1D61343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1DE17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565FCC9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43819A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673C74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41ED1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1D325AA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FCCD92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60B3FCF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FB9DD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16E3175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038D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2066640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</w:tr>
      <w:tr w:rsidR="003923D4" w:rsidRPr="003923D4" w14:paraId="19EE3195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9AC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EAE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85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44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E7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CBD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B5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F5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A3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A5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3D0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FCD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CE2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6B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923D4" w14:paraId="2B9836BB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D3B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918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F2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B8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05B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E3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09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2F6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BF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56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20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74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85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158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923D4" w14:paraId="426ADF3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6C3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44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B0E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11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AA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0F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DC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3FE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8E0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77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FBE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A76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10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6E3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923D4" w14:paraId="24694DA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136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28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B29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CD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28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D55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01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4E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31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171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09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97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480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4F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76D3F7BF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175CA09D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D4478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CA057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F3FF81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41CCEF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703BA58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B4A0BC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22B396B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EA9726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25977CD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9C20C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63A1B39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D730D5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51D344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0EB6B6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28549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E554AF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0929DD1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613A2C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5A57B96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271795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0648EA4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50806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4959FA3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BE17FF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34F76BC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2EF19A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9B7B30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</w:tr>
      <w:tr w:rsidR="003923D4" w:rsidRPr="003923D4" w14:paraId="4DB795E2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50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93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3D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34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90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F5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B4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6F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276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E1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1D5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CF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381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AF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923D4" w14:paraId="22883C84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E39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94D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8B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3D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D8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E4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9DB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43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03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5D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67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9C3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87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8E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923D4" w14:paraId="690FAA4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518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27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AF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DC1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74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263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B6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2C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AF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599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F0C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12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78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4E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923D4" w14:paraId="21E6C6BF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6E2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E51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96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12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34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17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2F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BE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A6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55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0D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C8A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AF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B7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2D6353F8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6A2E4EAC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6992EF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DAC1D8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5EF50B9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9CBB53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16F3F2B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7B4554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4C38D1C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AD557C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2594360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1E92C6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2959CD1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51E3C2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23F7937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BE125A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376E67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7E346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01ADA3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D7461E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74DD989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34B5F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2534E8F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9D9524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2136106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2062F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1F824B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493201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B43916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</w:tr>
      <w:tr w:rsidR="003923D4" w:rsidRPr="003923D4" w14:paraId="6ADC46AF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FB1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978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B40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F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84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17B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E0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11D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2C6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75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13A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5F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6C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FA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923D4" w14:paraId="03E144C6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94D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0FD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4C8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8A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21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DB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23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44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46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63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630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29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A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53E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923D4" w14:paraId="59662310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057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A68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A1D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96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83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AFB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D0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39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C26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FE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4D5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44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BFB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82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923D4" w14:paraId="2D0EE7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029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4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45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55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A1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5F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91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68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307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CF2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B1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E2A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9E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036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2FCB6C9B" w14:textId="77777777" w:rsidR="00B44566" w:rsidRDefault="00B44566" w:rsidP="00B44566"/>
    <w:p w14:paraId="2A1239AC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4E16CDC0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83B3A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37718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10A7F8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ACAA50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0B29A85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2B6D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5143F7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D4412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DD53FF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0431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0EB4FD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61E2B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3C44300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EF3150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E7B300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6EF092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1B3F4AC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62488C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22A1693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54DE15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37CA53D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004B4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6E53F41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5C93E9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34735EC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908DBE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3E9094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</w:tr>
      <w:tr w:rsidR="003923D4" w:rsidRPr="003923D4" w14:paraId="2D1F2E6E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257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94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7BA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91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D6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90B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39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F9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08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60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62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12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D1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B8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923D4" w14:paraId="30784EF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031C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182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2E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47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D5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1C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AD5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0D2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07C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28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643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16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9CC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75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923D4" w14:paraId="2C41E8F2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3C6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44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3F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C0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C0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B6D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73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0D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0C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2E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087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53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13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02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923D4" w14:paraId="6206F894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8E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C0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AE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422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8D1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95F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83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B2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12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19D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875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CC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D74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CB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407B43B8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31CA6052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3E1D0A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0E2BE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FB5F35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245F91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2172046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E1FD8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6CE2F0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F0177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BC0C88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D8F76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796D0A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FD05C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077AA58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72CD08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D48DCD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F4D832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6BADD8A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75D0B7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178E49E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B6AD3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</w:p>
          <w:p w14:paraId="231FDF9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8D157B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</w:p>
          <w:p w14:paraId="321E88E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76F11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60AE9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A402F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6E11893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</w:tr>
      <w:tr w:rsidR="003923D4" w:rsidRPr="003923D4" w14:paraId="7D84F40E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F32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5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435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29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F6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0D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11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4D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1CD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03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1C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B8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CF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43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923D4" w14:paraId="7135AF65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ADB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AC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A4A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DDB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3B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BF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EE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E4E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39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E1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F9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DA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74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4D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923D4" w14:paraId="2799ECE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ABD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B5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E1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1F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866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58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49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D4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65D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B5C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CC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DE9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5B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B8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923D4" w14:paraId="54DB269A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8E0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2F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D8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52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5DC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25B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9A3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8ED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83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86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5F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44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63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A0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7664B7A9" w14:textId="77777777" w:rsidR="003923D4" w:rsidRDefault="003923D4" w:rsidP="00B44566"/>
    <w:tbl>
      <w:tblPr>
        <w:tblW w:w="1056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043C0" w:rsidRPr="003923D4" w14:paraId="6A4EFD15" w14:textId="77777777" w:rsidTr="00195EB7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0E6C6CF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065A2C8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5622933E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777A166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137768D3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6FD24EA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87E230A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3A12FE0A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05A8A372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31930FC7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1D10415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A967BB5" w14:textId="77777777" w:rsidR="009043C0" w:rsidRDefault="00195EB7" w:rsidP="00195E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A14C61D" w14:textId="77777777" w:rsidR="009043C0" w:rsidRDefault="00195EB7" w:rsidP="00195E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A012E04" w14:textId="77777777" w:rsidR="009043C0" w:rsidRDefault="00195EB7" w:rsidP="00195E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</w:tr>
      <w:tr w:rsidR="009043C0" w:rsidRPr="003923D4" w14:paraId="7791F900" w14:textId="77777777" w:rsidTr="006426B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0038" w14:textId="77777777" w:rsidR="009043C0" w:rsidRPr="003923D4" w:rsidRDefault="009043C0" w:rsidP="0013142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54C45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BCA82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B617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A7A88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B75A4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D044C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AADB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65D4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60CA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51.961</w:t>
            </w:r>
          </w:p>
        </w:tc>
      </w:tr>
      <w:tr w:rsidR="009043C0" w:rsidRPr="003923D4" w14:paraId="313A10CF" w14:textId="77777777" w:rsidTr="006426B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6A1D" w14:textId="77777777" w:rsidR="009043C0" w:rsidRPr="003923D4" w:rsidRDefault="009043C0" w:rsidP="0013142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5B0C7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B9EC1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3180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5B7BE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6CF5D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DE65E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9E36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12CF8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71E81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59075</w:t>
            </w:r>
          </w:p>
        </w:tc>
      </w:tr>
      <w:tr w:rsidR="009043C0" w:rsidRPr="003923D4" w14:paraId="32EF5EE8" w14:textId="77777777" w:rsidTr="006426B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95CA" w14:textId="77777777" w:rsidR="009043C0" w:rsidRPr="003923D4" w:rsidRDefault="009043C0" w:rsidP="0013142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62FE3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7F893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E277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7B883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514B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8852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7A53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C6F09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C7E8A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97.382</w:t>
            </w:r>
          </w:p>
        </w:tc>
      </w:tr>
      <w:tr w:rsidR="009043C0" w:rsidRPr="003923D4" w14:paraId="7A847A6A" w14:textId="77777777" w:rsidTr="006426BF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BDFA" w14:textId="77777777" w:rsidR="009043C0" w:rsidRPr="003923D4" w:rsidRDefault="009043C0" w:rsidP="0013142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CF589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812F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9794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E8BF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0DB73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FB28D" w14:textId="77777777" w:rsidR="009043C0" w:rsidRPr="003923D4" w:rsidRDefault="009043C0" w:rsidP="001314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BB17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428A" w14:textId="77777777" w:rsidR="009043C0" w:rsidRDefault="006426BF" w:rsidP="00642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C7229" w14:textId="77777777" w:rsidR="009043C0" w:rsidRDefault="006A44B9" w:rsidP="006A44B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A44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</w:tr>
    </w:tbl>
    <w:p w14:paraId="47592773" w14:textId="77777777" w:rsidR="00FA7D79" w:rsidRDefault="00FA7D79" w:rsidP="00B44566"/>
    <w:tbl>
      <w:tblPr>
        <w:tblpPr w:leftFromText="180" w:rightFromText="180" w:vertAnchor="text" w:horzAnchor="page" w:tblpX="10236" w:tblpY="17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9043C0" w:rsidRPr="009C4C41" w14:paraId="37814961" w14:textId="77777777" w:rsidTr="009043C0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424B32D4" w14:textId="77777777" w:rsidR="009043C0" w:rsidRPr="009C4C41" w:rsidRDefault="009043C0" w:rsidP="009043C0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Sveukupno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od </w:t>
            </w: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</w:t>
            </w:r>
          </w:p>
          <w:p w14:paraId="59E9D6DD" w14:textId="77777777" w:rsidR="009043C0" w:rsidRPr="009C4C41" w:rsidRDefault="009043C0" w:rsidP="009043C0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do 30.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lipnja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2022.</w:t>
            </w:r>
          </w:p>
          <w:p w14:paraId="7AE4D30B" w14:textId="77777777" w:rsidR="009043C0" w:rsidRPr="009C4C41" w:rsidRDefault="009043C0" w:rsidP="009043C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A1370" w:rsidRPr="009C4C41" w14:paraId="4CD89B68" w14:textId="77777777" w:rsidTr="00C92ECD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75E8D5CB" w14:textId="77777777" w:rsidR="008A1370" w:rsidRPr="0019461B" w:rsidRDefault="008A1370" w:rsidP="008A137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5EB87F" w14:textId="77777777" w:rsidR="008A1370" w:rsidRDefault="008A1370" w:rsidP="008A137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hr-HR"/>
              </w:rPr>
            </w:pPr>
            <w:bookmarkStart w:id="89" w:name="_Hlk102398037"/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9.102.535</w:t>
            </w:r>
            <w:bookmarkEnd w:id="89"/>
          </w:p>
        </w:tc>
      </w:tr>
      <w:tr w:rsidR="008A1370" w:rsidRPr="009C4C41" w14:paraId="694A41EC" w14:textId="77777777" w:rsidTr="00C92ECD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CCEB243" w14:textId="77777777" w:rsidR="008A1370" w:rsidRPr="0019461B" w:rsidRDefault="008A1370" w:rsidP="008A137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996F29" w14:textId="77777777" w:rsidR="008A1370" w:rsidRDefault="008A1370" w:rsidP="008A137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hr-HR"/>
              </w:rPr>
            </w:pPr>
            <w:bookmarkStart w:id="90" w:name="_Hlk102398055"/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9.408.938</w:t>
            </w:r>
            <w:bookmarkEnd w:id="90"/>
          </w:p>
        </w:tc>
      </w:tr>
      <w:tr w:rsidR="008A1370" w:rsidRPr="009C4C41" w14:paraId="6A89997C" w14:textId="77777777" w:rsidTr="00C92ECD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60CFE641" w14:textId="77777777" w:rsidR="008A1370" w:rsidRPr="0019461B" w:rsidRDefault="008A1370" w:rsidP="008A137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C13E8E" w14:textId="77777777" w:rsidR="008A1370" w:rsidRDefault="008A1370" w:rsidP="008A137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24.500.715</w:t>
            </w:r>
          </w:p>
        </w:tc>
      </w:tr>
      <w:tr w:rsidR="008A1370" w:rsidRPr="009C4C41" w14:paraId="2B0F6304" w14:textId="77777777" w:rsidTr="00C92ECD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3BD22A53" w14:textId="77777777" w:rsidR="008A1370" w:rsidRPr="0019461B" w:rsidRDefault="008A1370" w:rsidP="008A137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lastRenderedPageBreak/>
              <w:t>Smanjenje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</w:t>
            </w:r>
            <w:r w:rsidR="006A44B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</w:t>
            </w:r>
            <w:proofErr w:type="spellEnd"/>
            <w:r w:rsidR="006A44B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A44B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="006A44B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30. </w:t>
            </w:r>
            <w:proofErr w:type="spellStart"/>
            <w:r w:rsidR="006A44B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rujna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2022.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AE8ACC" w14:textId="77777777" w:rsidR="008A1370" w:rsidRDefault="006A44B9" w:rsidP="006A4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307.599</w:t>
            </w:r>
          </w:p>
        </w:tc>
      </w:tr>
    </w:tbl>
    <w:p w14:paraId="08565F0E" w14:textId="77777777" w:rsidR="00FA7D79" w:rsidRDefault="00FA7D79" w:rsidP="00B44566"/>
    <w:p w14:paraId="74896450" w14:textId="77777777" w:rsidR="00FA7D79" w:rsidRDefault="00FA7D79" w:rsidP="00B44566"/>
    <w:p w14:paraId="55DA5529" w14:textId="77777777" w:rsidR="00FA7D79" w:rsidRDefault="00FA7D79" w:rsidP="00B44566"/>
    <w:p w14:paraId="3401E8BA" w14:textId="77777777" w:rsidR="003923D4" w:rsidRDefault="003923D4" w:rsidP="00B44566"/>
    <w:p w14:paraId="4849F173" w14:textId="77777777" w:rsidR="00FA7D79" w:rsidRDefault="00FA7D79" w:rsidP="00B44566"/>
    <w:p w14:paraId="57C0A65D" w14:textId="77777777" w:rsidR="00FA7D79" w:rsidRDefault="00FA7D79" w:rsidP="00B44566"/>
    <w:p w14:paraId="14BB129B" w14:textId="77777777" w:rsidR="00FA7D79" w:rsidRDefault="00FA7D79" w:rsidP="00B44566"/>
    <w:p w14:paraId="67C58F76" w14:textId="77777777" w:rsidR="00FA7D79" w:rsidRDefault="00FA7D79" w:rsidP="00B44566"/>
    <w:p w14:paraId="211D82D4" w14:textId="77777777" w:rsidR="00FA7D79" w:rsidRPr="00B44566" w:rsidRDefault="00FA7D79" w:rsidP="00B44566">
      <w:pPr>
        <w:sectPr w:rsidR="00FA7D79" w:rsidRPr="00B44566" w:rsidSect="006D7446">
          <w:footerReference w:type="first" r:id="rId21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430B425" w14:textId="77777777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91" w:name="_Toc70332806"/>
      <w:bookmarkStart w:id="92" w:name="_Toc96602573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FA078B" w:rsidRPr="00E900B4">
        <w:rPr>
          <w:rFonts w:asciiTheme="minorHAnsi" w:hAnsiTheme="minorHAnsi" w:cstheme="minorHAnsi"/>
          <w:sz w:val="22"/>
          <w:szCs w:val="22"/>
        </w:rPr>
        <w:t>I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73"/>
      <w:bookmarkEnd w:id="74"/>
      <w:bookmarkEnd w:id="75"/>
      <w:bookmarkEnd w:id="91"/>
      <w:bookmarkEnd w:id="92"/>
    </w:p>
    <w:p w14:paraId="5B7B9A99" w14:textId="77777777" w:rsidR="00E511F1" w:rsidRPr="00E900B4" w:rsidRDefault="00E511F1" w:rsidP="00E511F1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FE6D166" w14:textId="77777777" w:rsidR="00080FA1" w:rsidRPr="00080FA1" w:rsidRDefault="004A562F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080FA1">
        <w:rPr>
          <w:rFonts w:asciiTheme="minorHAnsi" w:hAnsiTheme="minorHAnsi" w:cstheme="minorHAnsi"/>
          <w:sz w:val="22"/>
          <w:szCs w:val="22"/>
        </w:rPr>
        <w:fldChar w:fldCharType="begin"/>
      </w:r>
      <w:r w:rsidRPr="00080FA1">
        <w:rPr>
          <w:rFonts w:asciiTheme="minorHAnsi" w:hAnsiTheme="minorHAnsi" w:cstheme="minorHAnsi"/>
          <w:sz w:val="22"/>
          <w:szCs w:val="22"/>
        </w:rPr>
        <w:instrText xml:space="preserve"> TOC \h \z \c "Table" </w:instrText>
      </w:r>
      <w:r w:rsidRPr="00080FA1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70332764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1. Podaci o radu zemljišnoknjižnih odjela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_Toc70332764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4FC0C86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5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2. Pregled poslovanja po sudovima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_Toc70332765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4793BB0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6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3. Stopa rješavanja predmeta, I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_Toc70332766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10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9F37B99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7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 xml:space="preserve">Tablica 4. Vrijeme rješavanja predmeta u </w:t>
        </w:r>
        <w:r w:rsidR="00973F93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kvartalu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_Toc70332767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14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CD959F2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8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5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_Toc70332768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95C900D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69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_Toc70332769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F0F1539" w14:textId="77777777" w:rsidR="009C5EC9" w:rsidRDefault="009C5EC9" w:rsidP="00483C15">
      <w:pPr>
        <w:pStyle w:val="Tablicaslika"/>
        <w:tabs>
          <w:tab w:val="right" w:leader="dot" w:pos="10053"/>
        </w:tabs>
        <w:jc w:val="both"/>
        <w:rPr>
          <w:noProof/>
        </w:rPr>
      </w:pPr>
      <w:r w:rsidRPr="00DE3CD5">
        <w:rPr>
          <w:rFonts w:asciiTheme="minorHAnsi" w:hAnsiTheme="minorHAnsi" w:cstheme="minorHAnsi"/>
          <w:noProof/>
          <w:sz w:val="22"/>
          <w:szCs w:val="22"/>
        </w:rPr>
        <w:t xml:space="preserve">Tablica </w:t>
      </w:r>
      <w:r>
        <w:rPr>
          <w:rFonts w:asciiTheme="minorHAnsi" w:hAnsiTheme="minorHAnsi" w:cstheme="minorHAnsi"/>
          <w:noProof/>
          <w:sz w:val="22"/>
          <w:szCs w:val="22"/>
        </w:rPr>
        <w:t>7</w:t>
      </w:r>
      <w:r w:rsidR="00F67EDD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Pr="009C5EC9">
        <w:rPr>
          <w:rFonts w:asciiTheme="minorHAnsi" w:hAnsiTheme="minorHAnsi" w:cstheme="minorHAnsi"/>
          <w:noProof/>
          <w:sz w:val="22"/>
          <w:szCs w:val="22"/>
        </w:rPr>
        <w:t>Broj radnih dana potrebnih za uknjižbu prava vlasništva</w:t>
      </w:r>
      <w:r w:rsidR="001B66C4">
        <w:rPr>
          <w:rFonts w:asciiTheme="minorHAnsi" w:hAnsiTheme="minorHAnsi" w:cstheme="minorHAnsi"/>
          <w:noProof/>
          <w:sz w:val="22"/>
          <w:szCs w:val="22"/>
        </w:rPr>
        <w:t>-ugovor o kupoprodaji</w:t>
      </w:r>
      <w:r w:rsidR="0055420A">
        <w:rPr>
          <w:rFonts w:asciiTheme="minorHAnsi" w:hAnsiTheme="minorHAnsi" w:cstheme="minorHAnsi"/>
          <w:noProof/>
          <w:sz w:val="22"/>
          <w:szCs w:val="22"/>
        </w:rPr>
        <w:t xml:space="preserve"> i založno</w:t>
      </w:r>
      <w:r w:rsidRPr="009C5EC9">
        <w:rPr>
          <w:rFonts w:asciiTheme="minorHAnsi" w:hAnsiTheme="minorHAnsi" w:cstheme="minorHAnsi"/>
          <w:noProof/>
          <w:sz w:val="22"/>
          <w:szCs w:val="22"/>
        </w:rPr>
        <w:t xml:space="preserve"> pra</w:t>
      </w:r>
      <w:r w:rsidR="0055420A">
        <w:rPr>
          <w:rFonts w:asciiTheme="minorHAnsi" w:hAnsiTheme="minorHAnsi" w:cstheme="minorHAnsi"/>
          <w:noProof/>
          <w:sz w:val="22"/>
          <w:szCs w:val="22"/>
        </w:rPr>
        <w:t>vo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119EF">
        <w:rPr>
          <w:rFonts w:asciiTheme="minorHAnsi" w:hAnsiTheme="minorHAnsi" w:cstheme="minorHAnsi"/>
          <w:noProof/>
          <w:sz w:val="22"/>
          <w:szCs w:val="22"/>
        </w:rPr>
        <w:t>u</w:t>
      </w:r>
      <w:r w:rsidR="006B6147">
        <w:rPr>
          <w:rFonts w:asciiTheme="minorHAnsi" w:hAnsiTheme="minorHAnsi" w:cstheme="minorHAnsi"/>
          <w:noProof/>
          <w:sz w:val="22"/>
          <w:szCs w:val="22"/>
        </w:rPr>
        <w:t xml:space="preserve"> I</w:t>
      </w:r>
      <w:r w:rsidR="0013142B">
        <w:rPr>
          <w:rFonts w:asciiTheme="minorHAnsi" w:hAnsiTheme="minorHAnsi" w:cstheme="minorHAnsi"/>
          <w:noProof/>
          <w:sz w:val="22"/>
          <w:szCs w:val="22"/>
        </w:rPr>
        <w:t>I</w:t>
      </w:r>
      <w:r w:rsidR="00EC7ADB">
        <w:rPr>
          <w:rFonts w:asciiTheme="minorHAnsi" w:hAnsiTheme="minorHAnsi" w:cstheme="minorHAnsi"/>
          <w:noProof/>
          <w:sz w:val="22"/>
          <w:szCs w:val="22"/>
        </w:rPr>
        <w:t>I</w:t>
      </w:r>
      <w:r w:rsidR="001B66C4">
        <w:rPr>
          <w:rFonts w:asciiTheme="minorHAnsi" w:hAnsiTheme="minorHAnsi" w:cstheme="minorHAnsi"/>
          <w:noProof/>
          <w:sz w:val="22"/>
          <w:szCs w:val="22"/>
        </w:rPr>
        <w:t>. kvartalu</w:t>
      </w:r>
      <w:r w:rsidR="00EC7ADB">
        <w:rPr>
          <w:rFonts w:asciiTheme="minorHAnsi" w:hAnsiTheme="minorHAnsi" w:cstheme="minorHAnsi"/>
          <w:noProof/>
          <w:sz w:val="22"/>
          <w:szCs w:val="22"/>
        </w:rPr>
        <w:t xml:space="preserve"> 2022</w:t>
      </w:r>
      <w:r w:rsidR="00E119EF">
        <w:rPr>
          <w:rFonts w:asciiTheme="minorHAnsi" w:hAnsiTheme="minorHAnsi" w:cstheme="minorHAnsi"/>
          <w:noProof/>
          <w:sz w:val="22"/>
          <w:szCs w:val="22"/>
        </w:rPr>
        <w:t>…</w:t>
      </w:r>
      <w:r w:rsidR="001B66C4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E119EF">
        <w:rPr>
          <w:rFonts w:asciiTheme="minorHAnsi" w:hAnsiTheme="minorHAnsi" w:cstheme="minorHAnsi"/>
          <w:noProof/>
          <w:sz w:val="22"/>
          <w:szCs w:val="22"/>
        </w:rPr>
        <w:t>….</w:t>
      </w:r>
      <w:r>
        <w:rPr>
          <w:rFonts w:asciiTheme="minorHAnsi" w:hAnsiTheme="minorHAnsi" w:cstheme="minorHAnsi"/>
          <w:noProof/>
          <w:sz w:val="22"/>
          <w:szCs w:val="22"/>
        </w:rPr>
        <w:t>………….1</w:t>
      </w:r>
      <w:r w:rsidR="00751A09">
        <w:rPr>
          <w:rFonts w:asciiTheme="minorHAnsi" w:hAnsiTheme="minorHAnsi" w:cstheme="minorHAnsi"/>
          <w:noProof/>
          <w:sz w:val="22"/>
          <w:szCs w:val="22"/>
        </w:rPr>
        <w:t>8</w:t>
      </w:r>
    </w:p>
    <w:p w14:paraId="50ADDEA8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0" w:history="1">
        <w:r w:rsidR="009C5EC9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8</w:t>
        </w:r>
        <w:r w:rsidR="00080FA1" w:rsidRPr="00080FA1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_Toc70332770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943C0A7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1" w:history="1">
        <w:r w:rsidR="009C5EC9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9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 xml:space="preserve">. Prikaz zaprimljenih posebnih predmeta u 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kvartalu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_Toc70332771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24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742968A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2" w:history="1">
        <w:r w:rsidR="009C5EC9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F67ED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 xml:space="preserve">Prikaz riješenih redovnih i posebnih predmeta u </w:t>
        </w:r>
        <w:r w:rsidR="00973F93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kvartalu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_Toc70332772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0961E19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3" w:history="1"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</w:t>
        </w:r>
        <w:r w:rsidR="009C5EC9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a 11</w:t>
        </w:r>
        <w:r w:rsidR="00F67EDD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 xml:space="preserve">Prikaz neriješenih redovnih i posebnih predmeta u 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592A8E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kvartalu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_Toc70332773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A0D8990" w14:textId="77777777" w:rsidR="00080FA1" w:rsidRPr="00080FA1" w:rsidRDefault="00FC0689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4" w:history="1">
        <w:r w:rsidR="009C5EC9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 xml:space="preserve">. Pregled elektroničkog poslovanja, </w:t>
        </w:r>
        <w:r w:rsidR="00592A8E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13142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 kvartal 2022</w:t>
        </w:r>
        <w:r w:rsidR="00080FA1" w:rsidRPr="00080FA1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_Toc70332774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463230A" w14:textId="77777777" w:rsidR="00080FA1" w:rsidRPr="00080FA1" w:rsidRDefault="00FC0689" w:rsidP="00EC7ADB">
      <w:pPr>
        <w:pStyle w:val="Tablicaslika"/>
        <w:tabs>
          <w:tab w:val="right" w:leader="dot" w:pos="10053"/>
        </w:tabs>
        <w:jc w:val="both"/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2775" w:history="1">
        <w:r w:rsidR="009C5EC9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</w:rPr>
          <w:t>Tablica 13</w:t>
        </w:r>
        <w:r w:rsidR="00080FA1" w:rsidRPr="00080FA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</w:rPr>
          <w:t xml:space="preserve">. </w:t>
        </w:r>
        <w:r w:rsidR="00080FA1" w:rsidRPr="00080FA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 xml:space="preserve">Mjesečni prikaz zaprimljenih, riješenih i neriješenih zk predmeta te izdanih zk </w:t>
        </w:r>
        <w:r w:rsidR="00E119EF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izv</w:t>
        </w:r>
        <w:r w:rsidR="00EC7AD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adaka od kolovoza 2004. do 3</w:t>
        </w:r>
        <w:r w:rsidR="0013142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0</w:t>
        </w:r>
        <w:r w:rsidR="00EC7AD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.</w:t>
        </w:r>
        <w:r w:rsidR="006B6147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 xml:space="preserve"> rujna</w:t>
        </w:r>
        <w:r w:rsidR="00EC7AD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 xml:space="preserve"> 2022</w:t>
        </w:r>
        <w:r w:rsidR="00080FA1" w:rsidRPr="00080FA1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.</w:t>
        </w:r>
        <w:r w:rsidR="00EC7AD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.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_Toc70332775 \h </w:instrTex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B6147">
          <w:rPr>
            <w:rFonts w:asciiTheme="minorHAnsi" w:hAnsiTheme="minorHAnsi" w:cstheme="minorHAnsi"/>
            <w:noProof/>
            <w:webHidden/>
            <w:sz w:val="22"/>
            <w:szCs w:val="22"/>
          </w:rPr>
          <w:t>29</w:t>
        </w:r>
        <w:r w:rsidR="00080FA1" w:rsidRPr="00080FA1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A442CA5" w14:textId="77777777" w:rsidR="00F466FF" w:rsidRPr="00080FA1" w:rsidRDefault="004A562F" w:rsidP="003C6995">
      <w:pPr>
        <w:pStyle w:val="Sadraj1"/>
      </w:pPr>
      <w:r w:rsidRPr="00080FA1">
        <w:fldChar w:fldCharType="end"/>
      </w:r>
    </w:p>
    <w:p w14:paraId="34719301" w14:textId="77777777" w:rsidR="004A562F" w:rsidRPr="00E900B4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157C5" w14:textId="77777777" w:rsidR="008B72EA" w:rsidRPr="003C6995" w:rsidRDefault="00FC0689" w:rsidP="008B72EA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1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1. Struktura zemljišnoknjižnih službenika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_Toc70333481 \h </w:instrTex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CD4885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E30E235" w14:textId="77777777" w:rsidR="008B72EA" w:rsidRPr="003C6995" w:rsidRDefault="00FC0689" w:rsidP="008B72EA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2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2. Grafički prikaz podataka o r</w:t>
        </w:r>
        <w:r w:rsidR="00EC7AD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 xml:space="preserve">adu zemljišnoknjižnih odjela, </w:t>
        </w:r>
        <w:r w:rsidR="0013142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I</w:t>
        </w:r>
        <w:r w:rsidR="006B6147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I</w:t>
        </w:r>
        <w:r w:rsidR="00EC7AD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. kvartal 2022</w:t>
        </w:r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.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_Toc70333482 \h </w:instrTex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CD4885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462C33B" w14:textId="77777777" w:rsidR="004471A1" w:rsidRDefault="00FC0689" w:rsidP="008B72EA">
      <w:pPr>
        <w:pStyle w:val="Tablicaslika"/>
        <w:tabs>
          <w:tab w:val="right" w:leader="dot" w:pos="10053"/>
        </w:tabs>
        <w:rPr>
          <w:rFonts w:asciiTheme="minorHAnsi" w:hAnsiTheme="minorHAnsi" w:cstheme="minorHAnsi"/>
          <w:noProof/>
          <w:sz w:val="22"/>
          <w:szCs w:val="22"/>
        </w:rPr>
      </w:pPr>
      <w:hyperlink w:anchor="_Toc70333483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3. Usporedni prikaz zemljišnoknjižnih odjela s više od 1.000 neriješenih redovnih predmeta</w:t>
        </w:r>
      </w:hyperlink>
      <w:r w:rsidR="004471A1">
        <w:rPr>
          <w:rFonts w:asciiTheme="minorHAnsi" w:hAnsiTheme="minorHAnsi" w:cstheme="minorHAnsi"/>
          <w:noProof/>
          <w:sz w:val="22"/>
          <w:szCs w:val="22"/>
        </w:rPr>
        <w:t>………………24</w:t>
      </w:r>
    </w:p>
    <w:p w14:paraId="5BE855D8" w14:textId="77777777" w:rsidR="008B72EA" w:rsidRPr="003C6995" w:rsidRDefault="00FC0689" w:rsidP="008B72EA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4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4. Prikaz elektronički predanih prijedloga za upis u zemljišnu knjigu po ovlaštenim korisnicima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_Toc70333484 \h </w:instrTex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CD4885">
          <w:rPr>
            <w:rFonts w:asciiTheme="minorHAnsi" w:hAnsiTheme="minorHAnsi" w:cstheme="minorHAnsi"/>
            <w:noProof/>
            <w:webHidden/>
            <w:sz w:val="22"/>
            <w:szCs w:val="22"/>
          </w:rPr>
          <w:t>27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B322E22" w14:textId="77777777" w:rsidR="008B72EA" w:rsidRPr="003C6995" w:rsidRDefault="00FC0689" w:rsidP="008B72EA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70333485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5. Prikaz elektronički izdanih zemljišnoknjižnih izvadaka po ovlaštenim korisnicima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_Toc70333485 \h </w:instrTex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CD4885">
          <w:rPr>
            <w:rFonts w:asciiTheme="minorHAnsi" w:hAnsiTheme="minorHAnsi" w:cstheme="minorHAnsi"/>
            <w:noProof/>
            <w:webHidden/>
            <w:sz w:val="22"/>
            <w:szCs w:val="22"/>
          </w:rPr>
          <w:t>27</w:t>
        </w:r>
        <w:r w:rsidR="008B72EA" w:rsidRPr="003C6995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F20D96B" w14:textId="77777777" w:rsidR="008B72EA" w:rsidRPr="003C6995" w:rsidRDefault="00FC0689" w:rsidP="00E652C1">
      <w:pPr>
        <w:rPr>
          <w:rFonts w:asciiTheme="minorHAnsi" w:hAnsiTheme="minorHAnsi" w:cstheme="minorHAnsi"/>
          <w:sz w:val="22"/>
          <w:szCs w:val="22"/>
        </w:rPr>
      </w:pPr>
      <w:hyperlink w:anchor="_Toc70333486" w:history="1">
        <w:r w:rsidR="008B72EA" w:rsidRPr="003C6995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Grafikon 6. Stanje neriješenih redovnih zk predmeta</w:t>
        </w:r>
        <w:r w:rsidR="00592A8E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 xml:space="preserve"> od kolovoza 2004. do</w:t>
        </w:r>
        <w:r w:rsidR="0013142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 xml:space="preserve"> 30</w:t>
        </w:r>
        <w:r w:rsidR="00E119EF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 xml:space="preserve">. </w:t>
        </w:r>
        <w:r w:rsidR="00E652C1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r</w:t>
        </w:r>
        <w:r w:rsidR="006B6147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ujna</w:t>
        </w:r>
        <w:r w:rsidR="00E652C1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 xml:space="preserve"> </w:t>
        </w:r>
        <w:r w:rsidR="00EC7ADB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2022</w:t>
        </w:r>
        <w:r w:rsidR="00E652C1">
          <w:rPr>
            <w:rStyle w:val="Hiperveza"/>
            <w:rFonts w:asciiTheme="minorHAnsi" w:hAnsiTheme="minorHAnsi" w:cstheme="minorHAnsi"/>
            <w:noProof/>
            <w:color w:val="auto"/>
            <w:sz w:val="22"/>
            <w:szCs w:val="22"/>
            <w:u w:val="none"/>
          </w:rPr>
          <w:t>……………………</w:t>
        </w:r>
      </w:hyperlink>
      <w:r w:rsidR="00076C10">
        <w:rPr>
          <w:rFonts w:asciiTheme="minorHAnsi" w:hAnsiTheme="minorHAnsi" w:cstheme="minorHAnsi"/>
          <w:noProof/>
          <w:sz w:val="22"/>
          <w:szCs w:val="22"/>
        </w:rPr>
        <w:t>…………28</w:t>
      </w:r>
    </w:p>
    <w:sectPr w:rsidR="008B72EA" w:rsidRPr="003C6995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8344" w14:textId="77777777" w:rsidR="00FC0689" w:rsidRDefault="00FC0689" w:rsidP="0046436D">
      <w:r>
        <w:separator/>
      </w:r>
    </w:p>
  </w:endnote>
  <w:endnote w:type="continuationSeparator" w:id="0">
    <w:p w14:paraId="6B99C8EE" w14:textId="77777777" w:rsidR="00FC0689" w:rsidRDefault="00FC0689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743E180E" w14:textId="77777777" w:rsidR="005F71CD" w:rsidRPr="003B5F22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98" w:rsidRPr="00CA5598">
          <w:rPr>
            <w:noProof/>
            <w:lang w:val="hr-HR"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A1CA" w14:textId="77777777" w:rsidR="005F71CD" w:rsidRDefault="005F71CD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13D318E1" w14:textId="77777777" w:rsidR="005F71CD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98" w:rsidRPr="00CA5598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31D954AD" w14:textId="77777777" w:rsidR="005F71CD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98" w:rsidRPr="00CA5598">
          <w:rPr>
            <w:noProof/>
            <w:lang w:val="hr-HR"/>
          </w:rPr>
          <w:t>1</w:t>
        </w:r>
        <w:r w:rsidR="00CA5598" w:rsidRPr="00CA5598">
          <w:rPr>
            <w:noProof/>
            <w:lang w:val="hr-HR"/>
          </w:rPr>
          <w:t>0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7C9B6FDB" w14:textId="77777777" w:rsidR="005F71CD" w:rsidRPr="003B5F22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98" w:rsidRPr="00CA5598">
          <w:rPr>
            <w:noProof/>
            <w:lang w:val="hr-HR"/>
          </w:rPr>
          <w:t>3</w:t>
        </w:r>
        <w:r w:rsidR="00CA5598" w:rsidRPr="00CA5598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2F1A26DD" w14:textId="77777777" w:rsidR="005F71CD" w:rsidRPr="003B5F22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98" w:rsidRPr="00CA5598">
          <w:rPr>
            <w:noProof/>
            <w:lang w:val="hr-HR"/>
          </w:rPr>
          <w:t>2</w:t>
        </w:r>
        <w:r w:rsidR="00CA5598" w:rsidRPr="00CA5598">
          <w:rPr>
            <w:noProof/>
            <w:lang w:val="hr-HR"/>
          </w:rPr>
          <w:t>6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159313"/>
      <w:docPartObj>
        <w:docPartGallery w:val="Page Numbers (Bottom of Page)"/>
        <w:docPartUnique/>
      </w:docPartObj>
    </w:sdtPr>
    <w:sdtEndPr/>
    <w:sdtContent>
      <w:p w14:paraId="716F8831" w14:textId="77777777" w:rsidR="005F71CD" w:rsidRPr="003B5F22" w:rsidRDefault="005F71CD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</w:t>
        </w:r>
        <w:r w:rsidRPr="00E67296">
          <w:rPr>
            <w:noProof/>
            <w:lang w:val="hr-HR"/>
          </w:rPr>
          <w:t>9</w:t>
        </w:r>
        <w:r>
          <w:fldChar w:fldCharType="end"/>
        </w:r>
      </w:p>
    </w:sdtContent>
  </w:sdt>
  <w:p w14:paraId="5EC8A960" w14:textId="77777777" w:rsidR="005F71CD" w:rsidRPr="003B5F22" w:rsidRDefault="005F71CD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BF49" w14:textId="77777777" w:rsidR="00FC0689" w:rsidRDefault="00FC0689" w:rsidP="0046436D">
      <w:r>
        <w:separator/>
      </w:r>
    </w:p>
  </w:footnote>
  <w:footnote w:type="continuationSeparator" w:id="0">
    <w:p w14:paraId="19E3F0FE" w14:textId="77777777" w:rsidR="00FC0689" w:rsidRDefault="00FC0689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AB1"/>
    <w:rsid w:val="00022C5A"/>
    <w:rsid w:val="000232F6"/>
    <w:rsid w:val="000237A6"/>
    <w:rsid w:val="0002403C"/>
    <w:rsid w:val="00024ECA"/>
    <w:rsid w:val="00024F28"/>
    <w:rsid w:val="00024FAB"/>
    <w:rsid w:val="00025B37"/>
    <w:rsid w:val="0002685D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669"/>
    <w:rsid w:val="000377A5"/>
    <w:rsid w:val="0003787C"/>
    <w:rsid w:val="00037A88"/>
    <w:rsid w:val="0004008E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88F"/>
    <w:rsid w:val="00045EEF"/>
    <w:rsid w:val="00046156"/>
    <w:rsid w:val="00046297"/>
    <w:rsid w:val="00046CA5"/>
    <w:rsid w:val="00046E2B"/>
    <w:rsid w:val="00046FDE"/>
    <w:rsid w:val="00047186"/>
    <w:rsid w:val="00047961"/>
    <w:rsid w:val="0005217D"/>
    <w:rsid w:val="000521FF"/>
    <w:rsid w:val="00052350"/>
    <w:rsid w:val="00054038"/>
    <w:rsid w:val="00054594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24"/>
    <w:rsid w:val="0006397A"/>
    <w:rsid w:val="00063DD0"/>
    <w:rsid w:val="00064253"/>
    <w:rsid w:val="00064B62"/>
    <w:rsid w:val="000655DE"/>
    <w:rsid w:val="000656DF"/>
    <w:rsid w:val="000660B5"/>
    <w:rsid w:val="00066B69"/>
    <w:rsid w:val="00066CC6"/>
    <w:rsid w:val="00067963"/>
    <w:rsid w:val="00067A5E"/>
    <w:rsid w:val="00070838"/>
    <w:rsid w:val="00070F3C"/>
    <w:rsid w:val="000718B5"/>
    <w:rsid w:val="00072469"/>
    <w:rsid w:val="000725C2"/>
    <w:rsid w:val="00072C32"/>
    <w:rsid w:val="0007362C"/>
    <w:rsid w:val="00073E85"/>
    <w:rsid w:val="00074460"/>
    <w:rsid w:val="000744E2"/>
    <w:rsid w:val="000757C7"/>
    <w:rsid w:val="000759B4"/>
    <w:rsid w:val="00075A89"/>
    <w:rsid w:val="00075EBC"/>
    <w:rsid w:val="000762F4"/>
    <w:rsid w:val="0007641C"/>
    <w:rsid w:val="00076457"/>
    <w:rsid w:val="000766F7"/>
    <w:rsid w:val="00076950"/>
    <w:rsid w:val="00076C10"/>
    <w:rsid w:val="00077337"/>
    <w:rsid w:val="00077B49"/>
    <w:rsid w:val="0008047D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38E"/>
    <w:rsid w:val="00084AAD"/>
    <w:rsid w:val="00084AB5"/>
    <w:rsid w:val="00084D47"/>
    <w:rsid w:val="0008712E"/>
    <w:rsid w:val="00087AF0"/>
    <w:rsid w:val="00090046"/>
    <w:rsid w:val="000905A0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870"/>
    <w:rsid w:val="00094B91"/>
    <w:rsid w:val="00095D5D"/>
    <w:rsid w:val="00096299"/>
    <w:rsid w:val="000964B9"/>
    <w:rsid w:val="00096743"/>
    <w:rsid w:val="000969BA"/>
    <w:rsid w:val="0009727A"/>
    <w:rsid w:val="00097C2E"/>
    <w:rsid w:val="00097F9A"/>
    <w:rsid w:val="000A04DF"/>
    <w:rsid w:val="000A055C"/>
    <w:rsid w:val="000A0671"/>
    <w:rsid w:val="000A0F85"/>
    <w:rsid w:val="000A1597"/>
    <w:rsid w:val="000A2947"/>
    <w:rsid w:val="000A3278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E34"/>
    <w:rsid w:val="000B059C"/>
    <w:rsid w:val="000B05CD"/>
    <w:rsid w:val="000B06B8"/>
    <w:rsid w:val="000B08A0"/>
    <w:rsid w:val="000B0AA0"/>
    <w:rsid w:val="000B0FAB"/>
    <w:rsid w:val="000B11A6"/>
    <w:rsid w:val="000B17C5"/>
    <w:rsid w:val="000B17DF"/>
    <w:rsid w:val="000B273B"/>
    <w:rsid w:val="000B2BA5"/>
    <w:rsid w:val="000B3203"/>
    <w:rsid w:val="000B3242"/>
    <w:rsid w:val="000B32F7"/>
    <w:rsid w:val="000B36D3"/>
    <w:rsid w:val="000B3860"/>
    <w:rsid w:val="000B3FC4"/>
    <w:rsid w:val="000B4805"/>
    <w:rsid w:val="000B5A0D"/>
    <w:rsid w:val="000B5B4F"/>
    <w:rsid w:val="000B5BD7"/>
    <w:rsid w:val="000B5CAF"/>
    <w:rsid w:val="000B5D25"/>
    <w:rsid w:val="000B60AD"/>
    <w:rsid w:val="000B62C8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631"/>
    <w:rsid w:val="000C0673"/>
    <w:rsid w:val="000C10FF"/>
    <w:rsid w:val="000C1223"/>
    <w:rsid w:val="000C129E"/>
    <w:rsid w:val="000C1B2D"/>
    <w:rsid w:val="000C1E7F"/>
    <w:rsid w:val="000C1F0B"/>
    <w:rsid w:val="000C2316"/>
    <w:rsid w:val="000C2805"/>
    <w:rsid w:val="000C2BB5"/>
    <w:rsid w:val="000C312A"/>
    <w:rsid w:val="000C3143"/>
    <w:rsid w:val="000C38F5"/>
    <w:rsid w:val="000C428D"/>
    <w:rsid w:val="000C47CE"/>
    <w:rsid w:val="000C4820"/>
    <w:rsid w:val="000C4968"/>
    <w:rsid w:val="000C4AFE"/>
    <w:rsid w:val="000C5182"/>
    <w:rsid w:val="000C5C42"/>
    <w:rsid w:val="000C5CD4"/>
    <w:rsid w:val="000C5FC9"/>
    <w:rsid w:val="000C6034"/>
    <w:rsid w:val="000C608E"/>
    <w:rsid w:val="000C6648"/>
    <w:rsid w:val="000C6B0C"/>
    <w:rsid w:val="000C6C23"/>
    <w:rsid w:val="000C7C06"/>
    <w:rsid w:val="000C7FE6"/>
    <w:rsid w:val="000D076E"/>
    <w:rsid w:val="000D0901"/>
    <w:rsid w:val="000D0BAC"/>
    <w:rsid w:val="000D0EDF"/>
    <w:rsid w:val="000D0F8C"/>
    <w:rsid w:val="000D11CF"/>
    <w:rsid w:val="000D16D1"/>
    <w:rsid w:val="000D243A"/>
    <w:rsid w:val="000D28C8"/>
    <w:rsid w:val="000D2B75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632"/>
    <w:rsid w:val="000E19F6"/>
    <w:rsid w:val="000E213D"/>
    <w:rsid w:val="000E2710"/>
    <w:rsid w:val="000E2940"/>
    <w:rsid w:val="000E3484"/>
    <w:rsid w:val="000E3A50"/>
    <w:rsid w:val="000E3FA1"/>
    <w:rsid w:val="000E5FA7"/>
    <w:rsid w:val="000E74ED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3645"/>
    <w:rsid w:val="00103A09"/>
    <w:rsid w:val="00103DFE"/>
    <w:rsid w:val="00104347"/>
    <w:rsid w:val="00105337"/>
    <w:rsid w:val="00105B12"/>
    <w:rsid w:val="00105D34"/>
    <w:rsid w:val="00106DB4"/>
    <w:rsid w:val="00106FE5"/>
    <w:rsid w:val="00110BC4"/>
    <w:rsid w:val="00111386"/>
    <w:rsid w:val="00111BAA"/>
    <w:rsid w:val="00111DA5"/>
    <w:rsid w:val="001124AE"/>
    <w:rsid w:val="00112938"/>
    <w:rsid w:val="0011302C"/>
    <w:rsid w:val="00113709"/>
    <w:rsid w:val="001139E5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0AE1"/>
    <w:rsid w:val="00131127"/>
    <w:rsid w:val="0013142B"/>
    <w:rsid w:val="0013148F"/>
    <w:rsid w:val="00132787"/>
    <w:rsid w:val="001330C1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2964"/>
    <w:rsid w:val="0014307A"/>
    <w:rsid w:val="001432CE"/>
    <w:rsid w:val="0014428A"/>
    <w:rsid w:val="001446BD"/>
    <w:rsid w:val="0014567B"/>
    <w:rsid w:val="001457A5"/>
    <w:rsid w:val="001457BC"/>
    <w:rsid w:val="00145956"/>
    <w:rsid w:val="00145D2A"/>
    <w:rsid w:val="00146B11"/>
    <w:rsid w:val="00147044"/>
    <w:rsid w:val="0014735A"/>
    <w:rsid w:val="0014739F"/>
    <w:rsid w:val="001477BD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236F"/>
    <w:rsid w:val="001524E6"/>
    <w:rsid w:val="00152944"/>
    <w:rsid w:val="00152BF5"/>
    <w:rsid w:val="0015390D"/>
    <w:rsid w:val="0015468F"/>
    <w:rsid w:val="00154EB7"/>
    <w:rsid w:val="00155390"/>
    <w:rsid w:val="00156070"/>
    <w:rsid w:val="001560B2"/>
    <w:rsid w:val="0015623E"/>
    <w:rsid w:val="0015636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EF1"/>
    <w:rsid w:val="00171428"/>
    <w:rsid w:val="00171840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87C"/>
    <w:rsid w:val="0017592B"/>
    <w:rsid w:val="00175F8A"/>
    <w:rsid w:val="001761C0"/>
    <w:rsid w:val="001762B1"/>
    <w:rsid w:val="001765C1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1163"/>
    <w:rsid w:val="00191B2C"/>
    <w:rsid w:val="00191F1C"/>
    <w:rsid w:val="00192CC4"/>
    <w:rsid w:val="001934B0"/>
    <w:rsid w:val="00193759"/>
    <w:rsid w:val="001938AF"/>
    <w:rsid w:val="0019416B"/>
    <w:rsid w:val="0019447B"/>
    <w:rsid w:val="0019461B"/>
    <w:rsid w:val="00195EB7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A4B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260"/>
    <w:rsid w:val="001C0FB7"/>
    <w:rsid w:val="001C1386"/>
    <w:rsid w:val="001C142F"/>
    <w:rsid w:val="001C1816"/>
    <w:rsid w:val="001C1854"/>
    <w:rsid w:val="001C24F1"/>
    <w:rsid w:val="001C334B"/>
    <w:rsid w:val="001C4543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51BA"/>
    <w:rsid w:val="001D54FF"/>
    <w:rsid w:val="001D588B"/>
    <w:rsid w:val="001D5D22"/>
    <w:rsid w:val="001D6473"/>
    <w:rsid w:val="001D6590"/>
    <w:rsid w:val="001D732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5F09"/>
    <w:rsid w:val="001E64DE"/>
    <w:rsid w:val="001E696C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A8E"/>
    <w:rsid w:val="001F3B33"/>
    <w:rsid w:val="001F3DED"/>
    <w:rsid w:val="001F4C3A"/>
    <w:rsid w:val="001F56C8"/>
    <w:rsid w:val="001F58F2"/>
    <w:rsid w:val="001F6863"/>
    <w:rsid w:val="001F6897"/>
    <w:rsid w:val="001F697B"/>
    <w:rsid w:val="001F6F06"/>
    <w:rsid w:val="001F760E"/>
    <w:rsid w:val="001F7808"/>
    <w:rsid w:val="0020029E"/>
    <w:rsid w:val="002003AB"/>
    <w:rsid w:val="002004D5"/>
    <w:rsid w:val="00200E21"/>
    <w:rsid w:val="0020102F"/>
    <w:rsid w:val="0020138E"/>
    <w:rsid w:val="002013B8"/>
    <w:rsid w:val="00201987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54D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40A6"/>
    <w:rsid w:val="00215378"/>
    <w:rsid w:val="00215396"/>
    <w:rsid w:val="00215401"/>
    <w:rsid w:val="002157F5"/>
    <w:rsid w:val="00216171"/>
    <w:rsid w:val="00216BD0"/>
    <w:rsid w:val="00216E32"/>
    <w:rsid w:val="0021707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2BC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310"/>
    <w:rsid w:val="00232E72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E47"/>
    <w:rsid w:val="00251315"/>
    <w:rsid w:val="002518C4"/>
    <w:rsid w:val="00251F9E"/>
    <w:rsid w:val="00252F5E"/>
    <w:rsid w:val="00253B8A"/>
    <w:rsid w:val="00253BD8"/>
    <w:rsid w:val="00254413"/>
    <w:rsid w:val="00254DEB"/>
    <w:rsid w:val="0025506D"/>
    <w:rsid w:val="0025561A"/>
    <w:rsid w:val="00255711"/>
    <w:rsid w:val="00255E57"/>
    <w:rsid w:val="0025646C"/>
    <w:rsid w:val="0025658A"/>
    <w:rsid w:val="002575B6"/>
    <w:rsid w:val="0025799A"/>
    <w:rsid w:val="00260185"/>
    <w:rsid w:val="002602D5"/>
    <w:rsid w:val="002604B5"/>
    <w:rsid w:val="0026117F"/>
    <w:rsid w:val="002611E1"/>
    <w:rsid w:val="002618E1"/>
    <w:rsid w:val="002621BA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908"/>
    <w:rsid w:val="00270D18"/>
    <w:rsid w:val="002710E3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19D"/>
    <w:rsid w:val="002765F8"/>
    <w:rsid w:val="00276704"/>
    <w:rsid w:val="00276ABF"/>
    <w:rsid w:val="00276E51"/>
    <w:rsid w:val="0027701F"/>
    <w:rsid w:val="00277ACF"/>
    <w:rsid w:val="00277AD3"/>
    <w:rsid w:val="00277D79"/>
    <w:rsid w:val="00277F9C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4B3"/>
    <w:rsid w:val="00290E74"/>
    <w:rsid w:val="00291036"/>
    <w:rsid w:val="00291041"/>
    <w:rsid w:val="00291784"/>
    <w:rsid w:val="00291AD5"/>
    <w:rsid w:val="00291BA9"/>
    <w:rsid w:val="00291EA6"/>
    <w:rsid w:val="00291F92"/>
    <w:rsid w:val="00292CFE"/>
    <w:rsid w:val="00292FED"/>
    <w:rsid w:val="002936BE"/>
    <w:rsid w:val="002947A0"/>
    <w:rsid w:val="002947EE"/>
    <w:rsid w:val="002954BF"/>
    <w:rsid w:val="00296097"/>
    <w:rsid w:val="00296467"/>
    <w:rsid w:val="00296953"/>
    <w:rsid w:val="00296A2D"/>
    <w:rsid w:val="00296B0E"/>
    <w:rsid w:val="00296BB3"/>
    <w:rsid w:val="00296C6A"/>
    <w:rsid w:val="00296D13"/>
    <w:rsid w:val="00296E55"/>
    <w:rsid w:val="002A071E"/>
    <w:rsid w:val="002A0A14"/>
    <w:rsid w:val="002A207E"/>
    <w:rsid w:val="002A29D9"/>
    <w:rsid w:val="002A2C20"/>
    <w:rsid w:val="002A3D79"/>
    <w:rsid w:val="002A4380"/>
    <w:rsid w:val="002A48CF"/>
    <w:rsid w:val="002A4BC2"/>
    <w:rsid w:val="002A535E"/>
    <w:rsid w:val="002A5AAF"/>
    <w:rsid w:val="002A5C94"/>
    <w:rsid w:val="002A6D28"/>
    <w:rsid w:val="002A6F8A"/>
    <w:rsid w:val="002A71D5"/>
    <w:rsid w:val="002B0052"/>
    <w:rsid w:val="002B098E"/>
    <w:rsid w:val="002B0A1C"/>
    <w:rsid w:val="002B0C56"/>
    <w:rsid w:val="002B0E85"/>
    <w:rsid w:val="002B122B"/>
    <w:rsid w:val="002B207A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ABD"/>
    <w:rsid w:val="002C144A"/>
    <w:rsid w:val="002C15CF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681"/>
    <w:rsid w:val="002C5812"/>
    <w:rsid w:val="002C5A18"/>
    <w:rsid w:val="002C645C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9D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2DC"/>
    <w:rsid w:val="002E44C2"/>
    <w:rsid w:val="002E45C1"/>
    <w:rsid w:val="002E4E8E"/>
    <w:rsid w:val="002E5B06"/>
    <w:rsid w:val="002E5DC6"/>
    <w:rsid w:val="002E60BC"/>
    <w:rsid w:val="002E631E"/>
    <w:rsid w:val="002E7D76"/>
    <w:rsid w:val="002F0DA0"/>
    <w:rsid w:val="002F0F03"/>
    <w:rsid w:val="002F10BD"/>
    <w:rsid w:val="002F15A5"/>
    <w:rsid w:val="002F29DA"/>
    <w:rsid w:val="002F2C5B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070"/>
    <w:rsid w:val="00300D93"/>
    <w:rsid w:val="00300EF4"/>
    <w:rsid w:val="003016C7"/>
    <w:rsid w:val="00301A03"/>
    <w:rsid w:val="00302737"/>
    <w:rsid w:val="00303489"/>
    <w:rsid w:val="003035E0"/>
    <w:rsid w:val="00304037"/>
    <w:rsid w:val="0030430A"/>
    <w:rsid w:val="0030445E"/>
    <w:rsid w:val="00304CE6"/>
    <w:rsid w:val="00305607"/>
    <w:rsid w:val="0030608D"/>
    <w:rsid w:val="003063BF"/>
    <w:rsid w:val="00306A91"/>
    <w:rsid w:val="00306DBD"/>
    <w:rsid w:val="00307092"/>
    <w:rsid w:val="00307385"/>
    <w:rsid w:val="00307636"/>
    <w:rsid w:val="00310725"/>
    <w:rsid w:val="00310D20"/>
    <w:rsid w:val="00311FE8"/>
    <w:rsid w:val="003127B8"/>
    <w:rsid w:val="00313429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20588"/>
    <w:rsid w:val="003205DD"/>
    <w:rsid w:val="0032095B"/>
    <w:rsid w:val="00320C4D"/>
    <w:rsid w:val="00320CFA"/>
    <w:rsid w:val="00321318"/>
    <w:rsid w:val="00322837"/>
    <w:rsid w:val="00322CDE"/>
    <w:rsid w:val="00322E84"/>
    <w:rsid w:val="00322FF9"/>
    <w:rsid w:val="003238AF"/>
    <w:rsid w:val="00323953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3BB6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35D4"/>
    <w:rsid w:val="003440DB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203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F1"/>
    <w:rsid w:val="00362968"/>
    <w:rsid w:val="00362ACF"/>
    <w:rsid w:val="00362B7B"/>
    <w:rsid w:val="00363016"/>
    <w:rsid w:val="00363993"/>
    <w:rsid w:val="003649EE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802"/>
    <w:rsid w:val="00377E84"/>
    <w:rsid w:val="00377FBF"/>
    <w:rsid w:val="00380209"/>
    <w:rsid w:val="00380B90"/>
    <w:rsid w:val="003811A8"/>
    <w:rsid w:val="0038154D"/>
    <w:rsid w:val="003816D3"/>
    <w:rsid w:val="00381D89"/>
    <w:rsid w:val="0038250A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213"/>
    <w:rsid w:val="003A18A9"/>
    <w:rsid w:val="003A1C65"/>
    <w:rsid w:val="003A21AD"/>
    <w:rsid w:val="003A3B80"/>
    <w:rsid w:val="003A3FAA"/>
    <w:rsid w:val="003A42C6"/>
    <w:rsid w:val="003A4C7F"/>
    <w:rsid w:val="003A56FB"/>
    <w:rsid w:val="003A68F0"/>
    <w:rsid w:val="003A6971"/>
    <w:rsid w:val="003A6975"/>
    <w:rsid w:val="003A735E"/>
    <w:rsid w:val="003A766B"/>
    <w:rsid w:val="003A7777"/>
    <w:rsid w:val="003A7EF2"/>
    <w:rsid w:val="003B0502"/>
    <w:rsid w:val="003B0646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F22"/>
    <w:rsid w:val="003B6001"/>
    <w:rsid w:val="003B60E7"/>
    <w:rsid w:val="003B6470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711F"/>
    <w:rsid w:val="003C72AE"/>
    <w:rsid w:val="003D13F4"/>
    <w:rsid w:val="003D1C54"/>
    <w:rsid w:val="003D1FB3"/>
    <w:rsid w:val="003D20B0"/>
    <w:rsid w:val="003D24E0"/>
    <w:rsid w:val="003D2B9F"/>
    <w:rsid w:val="003D2D31"/>
    <w:rsid w:val="003D3505"/>
    <w:rsid w:val="003D399A"/>
    <w:rsid w:val="003D4642"/>
    <w:rsid w:val="003D5EA2"/>
    <w:rsid w:val="003D6676"/>
    <w:rsid w:val="003D66B7"/>
    <w:rsid w:val="003D6C9D"/>
    <w:rsid w:val="003D6DF1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3C01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C0"/>
    <w:rsid w:val="003F6CFE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12D0"/>
    <w:rsid w:val="00401F2E"/>
    <w:rsid w:val="00402110"/>
    <w:rsid w:val="00402186"/>
    <w:rsid w:val="00403840"/>
    <w:rsid w:val="00403DB6"/>
    <w:rsid w:val="00403FE7"/>
    <w:rsid w:val="004046FF"/>
    <w:rsid w:val="004047B3"/>
    <w:rsid w:val="004049E4"/>
    <w:rsid w:val="00404BB1"/>
    <w:rsid w:val="00404FD1"/>
    <w:rsid w:val="00405636"/>
    <w:rsid w:val="00405662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2121"/>
    <w:rsid w:val="004125CE"/>
    <w:rsid w:val="004125F1"/>
    <w:rsid w:val="00412D12"/>
    <w:rsid w:val="00413051"/>
    <w:rsid w:val="00413E25"/>
    <w:rsid w:val="004150E2"/>
    <w:rsid w:val="004155B0"/>
    <w:rsid w:val="00415A64"/>
    <w:rsid w:val="00415AFD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3E8F"/>
    <w:rsid w:val="004248CF"/>
    <w:rsid w:val="00424978"/>
    <w:rsid w:val="00424A14"/>
    <w:rsid w:val="00424D3D"/>
    <w:rsid w:val="00424D8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1B5F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5169"/>
    <w:rsid w:val="0043698D"/>
    <w:rsid w:val="00436A07"/>
    <w:rsid w:val="00437272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C04"/>
    <w:rsid w:val="00444D3D"/>
    <w:rsid w:val="004453E5"/>
    <w:rsid w:val="004455F8"/>
    <w:rsid w:val="00445660"/>
    <w:rsid w:val="004461B4"/>
    <w:rsid w:val="00446BBA"/>
    <w:rsid w:val="004470CA"/>
    <w:rsid w:val="004471A1"/>
    <w:rsid w:val="00447A77"/>
    <w:rsid w:val="00450F1D"/>
    <w:rsid w:val="00451362"/>
    <w:rsid w:val="0045204C"/>
    <w:rsid w:val="00452367"/>
    <w:rsid w:val="00452729"/>
    <w:rsid w:val="00452ACF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8E7"/>
    <w:rsid w:val="004619BF"/>
    <w:rsid w:val="004619FB"/>
    <w:rsid w:val="00461F10"/>
    <w:rsid w:val="00462A75"/>
    <w:rsid w:val="00462BC4"/>
    <w:rsid w:val="0046327A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5502"/>
    <w:rsid w:val="004760AE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1794"/>
    <w:rsid w:val="00482035"/>
    <w:rsid w:val="004823CC"/>
    <w:rsid w:val="0048245D"/>
    <w:rsid w:val="00482775"/>
    <w:rsid w:val="00483335"/>
    <w:rsid w:val="00483A4E"/>
    <w:rsid w:val="00483B6F"/>
    <w:rsid w:val="00483C15"/>
    <w:rsid w:val="00484CFB"/>
    <w:rsid w:val="00484DBB"/>
    <w:rsid w:val="00485148"/>
    <w:rsid w:val="0048587A"/>
    <w:rsid w:val="00485CEF"/>
    <w:rsid w:val="0048631A"/>
    <w:rsid w:val="00486439"/>
    <w:rsid w:val="004864C1"/>
    <w:rsid w:val="00486580"/>
    <w:rsid w:val="004868C1"/>
    <w:rsid w:val="004869E5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2098"/>
    <w:rsid w:val="00492219"/>
    <w:rsid w:val="0049244F"/>
    <w:rsid w:val="00492560"/>
    <w:rsid w:val="00492F52"/>
    <w:rsid w:val="00493792"/>
    <w:rsid w:val="0049387F"/>
    <w:rsid w:val="004947F7"/>
    <w:rsid w:val="00494B5E"/>
    <w:rsid w:val="00494F58"/>
    <w:rsid w:val="00495668"/>
    <w:rsid w:val="004957DE"/>
    <w:rsid w:val="0049626D"/>
    <w:rsid w:val="00496C57"/>
    <w:rsid w:val="00496C72"/>
    <w:rsid w:val="004970D6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16B"/>
    <w:rsid w:val="004A522D"/>
    <w:rsid w:val="004A53D9"/>
    <w:rsid w:val="004A562F"/>
    <w:rsid w:val="004A58DA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DFA"/>
    <w:rsid w:val="004C0EFB"/>
    <w:rsid w:val="004C155B"/>
    <w:rsid w:val="004C1917"/>
    <w:rsid w:val="004C208C"/>
    <w:rsid w:val="004C2703"/>
    <w:rsid w:val="004C2AF3"/>
    <w:rsid w:val="004C2EBE"/>
    <w:rsid w:val="004C35FF"/>
    <w:rsid w:val="004C3CE8"/>
    <w:rsid w:val="004C4340"/>
    <w:rsid w:val="004C5733"/>
    <w:rsid w:val="004C6602"/>
    <w:rsid w:val="004C66A8"/>
    <w:rsid w:val="004C7268"/>
    <w:rsid w:val="004C72B2"/>
    <w:rsid w:val="004D0DC8"/>
    <w:rsid w:val="004D0FE0"/>
    <w:rsid w:val="004D15DF"/>
    <w:rsid w:val="004D1C4B"/>
    <w:rsid w:val="004D1CA8"/>
    <w:rsid w:val="004D1DE8"/>
    <w:rsid w:val="004D1F8F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480"/>
    <w:rsid w:val="004D6B58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46D"/>
    <w:rsid w:val="004F53E0"/>
    <w:rsid w:val="004F6110"/>
    <w:rsid w:val="004F62E2"/>
    <w:rsid w:val="004F63ED"/>
    <w:rsid w:val="004F6D92"/>
    <w:rsid w:val="004F79FC"/>
    <w:rsid w:val="005000FC"/>
    <w:rsid w:val="0050035D"/>
    <w:rsid w:val="005004E1"/>
    <w:rsid w:val="00500934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1A6"/>
    <w:rsid w:val="00506D57"/>
    <w:rsid w:val="00507038"/>
    <w:rsid w:val="00507505"/>
    <w:rsid w:val="005077E0"/>
    <w:rsid w:val="00507A0B"/>
    <w:rsid w:val="005119F9"/>
    <w:rsid w:val="0051262B"/>
    <w:rsid w:val="00512A64"/>
    <w:rsid w:val="00512EDC"/>
    <w:rsid w:val="005130F8"/>
    <w:rsid w:val="00513B5F"/>
    <w:rsid w:val="00513F90"/>
    <w:rsid w:val="005150CE"/>
    <w:rsid w:val="00515262"/>
    <w:rsid w:val="005157BF"/>
    <w:rsid w:val="00516003"/>
    <w:rsid w:val="005167F4"/>
    <w:rsid w:val="0051688E"/>
    <w:rsid w:val="00516D27"/>
    <w:rsid w:val="00516E66"/>
    <w:rsid w:val="00516F51"/>
    <w:rsid w:val="00517470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15E"/>
    <w:rsid w:val="00524586"/>
    <w:rsid w:val="00524658"/>
    <w:rsid w:val="005246A2"/>
    <w:rsid w:val="00524C19"/>
    <w:rsid w:val="00524C4C"/>
    <w:rsid w:val="00525571"/>
    <w:rsid w:val="00525AB4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811"/>
    <w:rsid w:val="00546D44"/>
    <w:rsid w:val="00547348"/>
    <w:rsid w:val="00547A5F"/>
    <w:rsid w:val="00551014"/>
    <w:rsid w:val="0055149A"/>
    <w:rsid w:val="00552383"/>
    <w:rsid w:val="005523F4"/>
    <w:rsid w:val="005528BA"/>
    <w:rsid w:val="00553143"/>
    <w:rsid w:val="0055420A"/>
    <w:rsid w:val="00554898"/>
    <w:rsid w:val="00554C5E"/>
    <w:rsid w:val="0055567F"/>
    <w:rsid w:val="00555B1F"/>
    <w:rsid w:val="0055635E"/>
    <w:rsid w:val="00557E15"/>
    <w:rsid w:val="00557FB6"/>
    <w:rsid w:val="00560093"/>
    <w:rsid w:val="00560187"/>
    <w:rsid w:val="005606B0"/>
    <w:rsid w:val="0056082D"/>
    <w:rsid w:val="00560CB9"/>
    <w:rsid w:val="005615BE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7006F"/>
    <w:rsid w:val="005706E7"/>
    <w:rsid w:val="00570859"/>
    <w:rsid w:val="005709BF"/>
    <w:rsid w:val="00570C59"/>
    <w:rsid w:val="0057146D"/>
    <w:rsid w:val="00571F01"/>
    <w:rsid w:val="0057214F"/>
    <w:rsid w:val="0057240A"/>
    <w:rsid w:val="005725D1"/>
    <w:rsid w:val="005727D6"/>
    <w:rsid w:val="00572870"/>
    <w:rsid w:val="00572D85"/>
    <w:rsid w:val="0057380E"/>
    <w:rsid w:val="005739C9"/>
    <w:rsid w:val="00573B8D"/>
    <w:rsid w:val="00573D40"/>
    <w:rsid w:val="005745E9"/>
    <w:rsid w:val="005746CE"/>
    <w:rsid w:val="00574C38"/>
    <w:rsid w:val="00575032"/>
    <w:rsid w:val="0057530E"/>
    <w:rsid w:val="0057571B"/>
    <w:rsid w:val="00575B98"/>
    <w:rsid w:val="0057615D"/>
    <w:rsid w:val="005769DA"/>
    <w:rsid w:val="0057747A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45C"/>
    <w:rsid w:val="00584518"/>
    <w:rsid w:val="00585201"/>
    <w:rsid w:val="00585397"/>
    <w:rsid w:val="00586230"/>
    <w:rsid w:val="00586854"/>
    <w:rsid w:val="00586C24"/>
    <w:rsid w:val="00586E5C"/>
    <w:rsid w:val="00586FE1"/>
    <w:rsid w:val="005903CC"/>
    <w:rsid w:val="00590F7A"/>
    <w:rsid w:val="005922F2"/>
    <w:rsid w:val="005927C1"/>
    <w:rsid w:val="00592A8E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C16"/>
    <w:rsid w:val="0059702B"/>
    <w:rsid w:val="005A011E"/>
    <w:rsid w:val="005A0662"/>
    <w:rsid w:val="005A1312"/>
    <w:rsid w:val="005A1787"/>
    <w:rsid w:val="005A2083"/>
    <w:rsid w:val="005A2A99"/>
    <w:rsid w:val="005A2F2B"/>
    <w:rsid w:val="005A45F8"/>
    <w:rsid w:val="005A4FF9"/>
    <w:rsid w:val="005A5565"/>
    <w:rsid w:val="005A59F1"/>
    <w:rsid w:val="005A5C91"/>
    <w:rsid w:val="005A6040"/>
    <w:rsid w:val="005A657F"/>
    <w:rsid w:val="005A65AD"/>
    <w:rsid w:val="005A6796"/>
    <w:rsid w:val="005A6DA0"/>
    <w:rsid w:val="005A7623"/>
    <w:rsid w:val="005A7F9E"/>
    <w:rsid w:val="005B02C1"/>
    <w:rsid w:val="005B0820"/>
    <w:rsid w:val="005B164A"/>
    <w:rsid w:val="005B18A1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0D0E"/>
    <w:rsid w:val="005D12E4"/>
    <w:rsid w:val="005D244F"/>
    <w:rsid w:val="005D2A2D"/>
    <w:rsid w:val="005D2F28"/>
    <w:rsid w:val="005D30BF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113F"/>
    <w:rsid w:val="005E1B02"/>
    <w:rsid w:val="005E258A"/>
    <w:rsid w:val="005E27A0"/>
    <w:rsid w:val="005E2A6B"/>
    <w:rsid w:val="005E3132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403"/>
    <w:rsid w:val="005E7AE2"/>
    <w:rsid w:val="005F0855"/>
    <w:rsid w:val="005F09F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3D86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1CD"/>
    <w:rsid w:val="005F763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1EF2"/>
    <w:rsid w:val="00612B5F"/>
    <w:rsid w:val="006133AE"/>
    <w:rsid w:val="00613538"/>
    <w:rsid w:val="006139B2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6FF0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255C"/>
    <w:rsid w:val="006333E3"/>
    <w:rsid w:val="00633A96"/>
    <w:rsid w:val="006344CB"/>
    <w:rsid w:val="006353CB"/>
    <w:rsid w:val="00635B75"/>
    <w:rsid w:val="00635B7A"/>
    <w:rsid w:val="00635EB8"/>
    <w:rsid w:val="006363C1"/>
    <w:rsid w:val="00636543"/>
    <w:rsid w:val="00636563"/>
    <w:rsid w:val="00636FF0"/>
    <w:rsid w:val="00637B92"/>
    <w:rsid w:val="00637E23"/>
    <w:rsid w:val="00637E3B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6BF"/>
    <w:rsid w:val="006427F7"/>
    <w:rsid w:val="006429D0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4F88"/>
    <w:rsid w:val="00655393"/>
    <w:rsid w:val="0065540C"/>
    <w:rsid w:val="006558E5"/>
    <w:rsid w:val="0065638E"/>
    <w:rsid w:val="00656D86"/>
    <w:rsid w:val="00657E1C"/>
    <w:rsid w:val="0066041A"/>
    <w:rsid w:val="00660E86"/>
    <w:rsid w:val="00661568"/>
    <w:rsid w:val="006617AF"/>
    <w:rsid w:val="00663874"/>
    <w:rsid w:val="00663B24"/>
    <w:rsid w:val="00663FA5"/>
    <w:rsid w:val="006646AE"/>
    <w:rsid w:val="006652C8"/>
    <w:rsid w:val="00665A46"/>
    <w:rsid w:val="00666453"/>
    <w:rsid w:val="006667B4"/>
    <w:rsid w:val="00666DE0"/>
    <w:rsid w:val="00666E9C"/>
    <w:rsid w:val="00666F48"/>
    <w:rsid w:val="00667B91"/>
    <w:rsid w:val="0067016A"/>
    <w:rsid w:val="0067073D"/>
    <w:rsid w:val="006709F8"/>
    <w:rsid w:val="00670DD1"/>
    <w:rsid w:val="00670EE4"/>
    <w:rsid w:val="0067105F"/>
    <w:rsid w:val="006711F7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BED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1DD3"/>
    <w:rsid w:val="0069224C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4B9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147"/>
    <w:rsid w:val="006B6403"/>
    <w:rsid w:val="006B7210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38C"/>
    <w:rsid w:val="006D06A8"/>
    <w:rsid w:val="006D0EB6"/>
    <w:rsid w:val="006D0F41"/>
    <w:rsid w:val="006D1065"/>
    <w:rsid w:val="006D19E4"/>
    <w:rsid w:val="006D1AE1"/>
    <w:rsid w:val="006D1EDA"/>
    <w:rsid w:val="006D247C"/>
    <w:rsid w:val="006D252E"/>
    <w:rsid w:val="006D2B30"/>
    <w:rsid w:val="006D2E3B"/>
    <w:rsid w:val="006D3542"/>
    <w:rsid w:val="006D38CA"/>
    <w:rsid w:val="006D3A8D"/>
    <w:rsid w:val="006D4447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3A"/>
    <w:rsid w:val="006F2AA2"/>
    <w:rsid w:val="006F2FD4"/>
    <w:rsid w:val="006F3766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7AD"/>
    <w:rsid w:val="0070694F"/>
    <w:rsid w:val="00706964"/>
    <w:rsid w:val="00711081"/>
    <w:rsid w:val="0071159D"/>
    <w:rsid w:val="00711D34"/>
    <w:rsid w:val="007123AF"/>
    <w:rsid w:val="00712D0F"/>
    <w:rsid w:val="007132BD"/>
    <w:rsid w:val="007139AB"/>
    <w:rsid w:val="00714449"/>
    <w:rsid w:val="007145E5"/>
    <w:rsid w:val="00714766"/>
    <w:rsid w:val="00715B78"/>
    <w:rsid w:val="00715F33"/>
    <w:rsid w:val="00716088"/>
    <w:rsid w:val="00716801"/>
    <w:rsid w:val="0071686E"/>
    <w:rsid w:val="00716984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A06"/>
    <w:rsid w:val="00727E8C"/>
    <w:rsid w:val="00727FF5"/>
    <w:rsid w:val="00730544"/>
    <w:rsid w:val="00730829"/>
    <w:rsid w:val="007314AF"/>
    <w:rsid w:val="007316E6"/>
    <w:rsid w:val="007322F1"/>
    <w:rsid w:val="007327BD"/>
    <w:rsid w:val="007333E1"/>
    <w:rsid w:val="00733AFF"/>
    <w:rsid w:val="00733F48"/>
    <w:rsid w:val="00734609"/>
    <w:rsid w:val="00734A3E"/>
    <w:rsid w:val="00734D41"/>
    <w:rsid w:val="007351A6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066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4134"/>
    <w:rsid w:val="00764BC5"/>
    <w:rsid w:val="00765581"/>
    <w:rsid w:val="00765AD1"/>
    <w:rsid w:val="00766162"/>
    <w:rsid w:val="00766DD3"/>
    <w:rsid w:val="00767B77"/>
    <w:rsid w:val="00767BAF"/>
    <w:rsid w:val="00767CDA"/>
    <w:rsid w:val="00767DCA"/>
    <w:rsid w:val="00767E42"/>
    <w:rsid w:val="007703AC"/>
    <w:rsid w:val="00770863"/>
    <w:rsid w:val="00771306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6F02"/>
    <w:rsid w:val="00787251"/>
    <w:rsid w:val="00787504"/>
    <w:rsid w:val="00787801"/>
    <w:rsid w:val="00787B18"/>
    <w:rsid w:val="00787E86"/>
    <w:rsid w:val="007905BB"/>
    <w:rsid w:val="007909EE"/>
    <w:rsid w:val="00791243"/>
    <w:rsid w:val="00791610"/>
    <w:rsid w:val="00791916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79D"/>
    <w:rsid w:val="00797D18"/>
    <w:rsid w:val="007A00A7"/>
    <w:rsid w:val="007A08F7"/>
    <w:rsid w:val="007A1143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F1B"/>
    <w:rsid w:val="007B2074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6107"/>
    <w:rsid w:val="007D700F"/>
    <w:rsid w:val="007D7351"/>
    <w:rsid w:val="007D779F"/>
    <w:rsid w:val="007D7835"/>
    <w:rsid w:val="007D7EBB"/>
    <w:rsid w:val="007D7F13"/>
    <w:rsid w:val="007D7F96"/>
    <w:rsid w:val="007E066D"/>
    <w:rsid w:val="007E0D57"/>
    <w:rsid w:val="007E0DF0"/>
    <w:rsid w:val="007E0E2B"/>
    <w:rsid w:val="007E1214"/>
    <w:rsid w:val="007E1369"/>
    <w:rsid w:val="007E1A6C"/>
    <w:rsid w:val="007E1D19"/>
    <w:rsid w:val="007E216F"/>
    <w:rsid w:val="007E21DB"/>
    <w:rsid w:val="007E2E23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40C"/>
    <w:rsid w:val="007F3774"/>
    <w:rsid w:val="007F3AB6"/>
    <w:rsid w:val="007F3D6F"/>
    <w:rsid w:val="007F44EE"/>
    <w:rsid w:val="007F46F9"/>
    <w:rsid w:val="007F4C3C"/>
    <w:rsid w:val="007F50C2"/>
    <w:rsid w:val="007F512B"/>
    <w:rsid w:val="007F56E0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BB6"/>
    <w:rsid w:val="00800C9F"/>
    <w:rsid w:val="008010D2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BDC"/>
    <w:rsid w:val="00813D48"/>
    <w:rsid w:val="00813E09"/>
    <w:rsid w:val="008144CB"/>
    <w:rsid w:val="008150D2"/>
    <w:rsid w:val="0081566A"/>
    <w:rsid w:val="00815977"/>
    <w:rsid w:val="00815DBC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085"/>
    <w:rsid w:val="008412DB"/>
    <w:rsid w:val="00841D1C"/>
    <w:rsid w:val="00841D3E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42A"/>
    <w:rsid w:val="00851F57"/>
    <w:rsid w:val="008521C8"/>
    <w:rsid w:val="00852A4F"/>
    <w:rsid w:val="00853CA1"/>
    <w:rsid w:val="00853D0A"/>
    <w:rsid w:val="00854535"/>
    <w:rsid w:val="0085558B"/>
    <w:rsid w:val="00855D24"/>
    <w:rsid w:val="008560B4"/>
    <w:rsid w:val="00856247"/>
    <w:rsid w:val="008567E1"/>
    <w:rsid w:val="00857017"/>
    <w:rsid w:val="008574B3"/>
    <w:rsid w:val="008574E9"/>
    <w:rsid w:val="00857F26"/>
    <w:rsid w:val="008604A2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A6"/>
    <w:rsid w:val="008813BF"/>
    <w:rsid w:val="00881FD8"/>
    <w:rsid w:val="0088215F"/>
    <w:rsid w:val="00882863"/>
    <w:rsid w:val="008828AA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10B"/>
    <w:rsid w:val="0088673A"/>
    <w:rsid w:val="00886D3E"/>
    <w:rsid w:val="00886E9F"/>
    <w:rsid w:val="0088775D"/>
    <w:rsid w:val="0088778A"/>
    <w:rsid w:val="00890530"/>
    <w:rsid w:val="00890ABF"/>
    <w:rsid w:val="00890C88"/>
    <w:rsid w:val="00891852"/>
    <w:rsid w:val="00891C08"/>
    <w:rsid w:val="00891F95"/>
    <w:rsid w:val="0089289F"/>
    <w:rsid w:val="00893304"/>
    <w:rsid w:val="008937B9"/>
    <w:rsid w:val="008937C3"/>
    <w:rsid w:val="00894C9A"/>
    <w:rsid w:val="00894DAB"/>
    <w:rsid w:val="00895FAC"/>
    <w:rsid w:val="008969E0"/>
    <w:rsid w:val="00896BDD"/>
    <w:rsid w:val="00896C01"/>
    <w:rsid w:val="008971EF"/>
    <w:rsid w:val="00897C85"/>
    <w:rsid w:val="008A00E4"/>
    <w:rsid w:val="008A058C"/>
    <w:rsid w:val="008A0AA7"/>
    <w:rsid w:val="008A0C08"/>
    <w:rsid w:val="008A1370"/>
    <w:rsid w:val="008A1BBB"/>
    <w:rsid w:val="008A2425"/>
    <w:rsid w:val="008A2791"/>
    <w:rsid w:val="008A3035"/>
    <w:rsid w:val="008A3084"/>
    <w:rsid w:val="008A32E3"/>
    <w:rsid w:val="008A39DC"/>
    <w:rsid w:val="008A51D6"/>
    <w:rsid w:val="008A537B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C9"/>
    <w:rsid w:val="008C1026"/>
    <w:rsid w:val="008C240A"/>
    <w:rsid w:val="008C2F98"/>
    <w:rsid w:val="008C3838"/>
    <w:rsid w:val="008C38FB"/>
    <w:rsid w:val="008C43C3"/>
    <w:rsid w:val="008C51AD"/>
    <w:rsid w:val="008C536B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674"/>
    <w:rsid w:val="008E4AD2"/>
    <w:rsid w:val="008E5448"/>
    <w:rsid w:val="008E5660"/>
    <w:rsid w:val="008E56AB"/>
    <w:rsid w:val="008E5C73"/>
    <w:rsid w:val="008E627D"/>
    <w:rsid w:val="008E62B7"/>
    <w:rsid w:val="008E64CC"/>
    <w:rsid w:val="008E6726"/>
    <w:rsid w:val="008E7AC1"/>
    <w:rsid w:val="008E7E30"/>
    <w:rsid w:val="008E7ED7"/>
    <w:rsid w:val="008F0209"/>
    <w:rsid w:val="008F0397"/>
    <w:rsid w:val="008F0604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3C0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1C6D"/>
    <w:rsid w:val="00912EC9"/>
    <w:rsid w:val="00913E96"/>
    <w:rsid w:val="009145BE"/>
    <w:rsid w:val="00914B30"/>
    <w:rsid w:val="00914CF6"/>
    <w:rsid w:val="00914DBD"/>
    <w:rsid w:val="00915754"/>
    <w:rsid w:val="00915A7F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30142"/>
    <w:rsid w:val="009305D9"/>
    <w:rsid w:val="00930759"/>
    <w:rsid w:val="00930789"/>
    <w:rsid w:val="00931864"/>
    <w:rsid w:val="009322AA"/>
    <w:rsid w:val="00932C40"/>
    <w:rsid w:val="00932EC9"/>
    <w:rsid w:val="00932F66"/>
    <w:rsid w:val="00933318"/>
    <w:rsid w:val="00933BEB"/>
    <w:rsid w:val="00933C57"/>
    <w:rsid w:val="00934093"/>
    <w:rsid w:val="0093430C"/>
    <w:rsid w:val="00934325"/>
    <w:rsid w:val="0093464C"/>
    <w:rsid w:val="009346FA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CE7"/>
    <w:rsid w:val="00951D42"/>
    <w:rsid w:val="00951EBD"/>
    <w:rsid w:val="00951F1E"/>
    <w:rsid w:val="00951FDB"/>
    <w:rsid w:val="00952155"/>
    <w:rsid w:val="00952A44"/>
    <w:rsid w:val="00953C8A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C0A"/>
    <w:rsid w:val="00960F29"/>
    <w:rsid w:val="00960F34"/>
    <w:rsid w:val="00961374"/>
    <w:rsid w:val="0096230F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35F"/>
    <w:rsid w:val="00967E45"/>
    <w:rsid w:val="00970251"/>
    <w:rsid w:val="0097071C"/>
    <w:rsid w:val="00970EA9"/>
    <w:rsid w:val="009712B3"/>
    <w:rsid w:val="0097267B"/>
    <w:rsid w:val="00972989"/>
    <w:rsid w:val="00973B5E"/>
    <w:rsid w:val="00973BF9"/>
    <w:rsid w:val="00973F93"/>
    <w:rsid w:val="00974260"/>
    <w:rsid w:val="00974534"/>
    <w:rsid w:val="00974C36"/>
    <w:rsid w:val="0097674A"/>
    <w:rsid w:val="0097760F"/>
    <w:rsid w:val="00977774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5176"/>
    <w:rsid w:val="0098525D"/>
    <w:rsid w:val="009855F0"/>
    <w:rsid w:val="00985817"/>
    <w:rsid w:val="00986794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1FE4"/>
    <w:rsid w:val="0099270B"/>
    <w:rsid w:val="0099357C"/>
    <w:rsid w:val="009947C8"/>
    <w:rsid w:val="00994DD3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604"/>
    <w:rsid w:val="009A46C5"/>
    <w:rsid w:val="009A48BD"/>
    <w:rsid w:val="009A4E6C"/>
    <w:rsid w:val="009A5286"/>
    <w:rsid w:val="009A5B90"/>
    <w:rsid w:val="009A5B92"/>
    <w:rsid w:val="009A61F2"/>
    <w:rsid w:val="009A65CA"/>
    <w:rsid w:val="009A6FDD"/>
    <w:rsid w:val="009A74A8"/>
    <w:rsid w:val="009B05C4"/>
    <w:rsid w:val="009B075D"/>
    <w:rsid w:val="009B07EB"/>
    <w:rsid w:val="009B1290"/>
    <w:rsid w:val="009B14B7"/>
    <w:rsid w:val="009B2992"/>
    <w:rsid w:val="009B4038"/>
    <w:rsid w:val="009B4342"/>
    <w:rsid w:val="009B576F"/>
    <w:rsid w:val="009B57CA"/>
    <w:rsid w:val="009B622B"/>
    <w:rsid w:val="009B65EC"/>
    <w:rsid w:val="009B6949"/>
    <w:rsid w:val="009B6B52"/>
    <w:rsid w:val="009C0232"/>
    <w:rsid w:val="009C0373"/>
    <w:rsid w:val="009C0DE6"/>
    <w:rsid w:val="009C0E3A"/>
    <w:rsid w:val="009C1AEA"/>
    <w:rsid w:val="009C227E"/>
    <w:rsid w:val="009C2789"/>
    <w:rsid w:val="009C2A5B"/>
    <w:rsid w:val="009C2B77"/>
    <w:rsid w:val="009C3CDA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358"/>
    <w:rsid w:val="009D395E"/>
    <w:rsid w:val="009D3A21"/>
    <w:rsid w:val="009D40E7"/>
    <w:rsid w:val="009D43AD"/>
    <w:rsid w:val="009D466D"/>
    <w:rsid w:val="009D4D82"/>
    <w:rsid w:val="009D5425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7E3"/>
    <w:rsid w:val="009E080C"/>
    <w:rsid w:val="009E1A44"/>
    <w:rsid w:val="009E1F82"/>
    <w:rsid w:val="009E1FEE"/>
    <w:rsid w:val="009E2DB6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4EA"/>
    <w:rsid w:val="009F6672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E2D"/>
    <w:rsid w:val="00A10EB6"/>
    <w:rsid w:val="00A11007"/>
    <w:rsid w:val="00A1149C"/>
    <w:rsid w:val="00A117AE"/>
    <w:rsid w:val="00A118E7"/>
    <w:rsid w:val="00A11C15"/>
    <w:rsid w:val="00A12170"/>
    <w:rsid w:val="00A12435"/>
    <w:rsid w:val="00A12AB5"/>
    <w:rsid w:val="00A12FA0"/>
    <w:rsid w:val="00A12FD5"/>
    <w:rsid w:val="00A13041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2ED3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ACC"/>
    <w:rsid w:val="00A27D2A"/>
    <w:rsid w:val="00A27F46"/>
    <w:rsid w:val="00A27F9F"/>
    <w:rsid w:val="00A3004F"/>
    <w:rsid w:val="00A300EE"/>
    <w:rsid w:val="00A30580"/>
    <w:rsid w:val="00A30695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B78"/>
    <w:rsid w:val="00A43305"/>
    <w:rsid w:val="00A43511"/>
    <w:rsid w:val="00A43A2F"/>
    <w:rsid w:val="00A43F0D"/>
    <w:rsid w:val="00A43F4F"/>
    <w:rsid w:val="00A4440B"/>
    <w:rsid w:val="00A44941"/>
    <w:rsid w:val="00A44DB4"/>
    <w:rsid w:val="00A45429"/>
    <w:rsid w:val="00A457CF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065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004"/>
    <w:rsid w:val="00A5721D"/>
    <w:rsid w:val="00A5767D"/>
    <w:rsid w:val="00A5790A"/>
    <w:rsid w:val="00A57B1D"/>
    <w:rsid w:val="00A57D2B"/>
    <w:rsid w:val="00A607A8"/>
    <w:rsid w:val="00A628D1"/>
    <w:rsid w:val="00A62E2E"/>
    <w:rsid w:val="00A634DE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63AE"/>
    <w:rsid w:val="00A6718B"/>
    <w:rsid w:val="00A6724F"/>
    <w:rsid w:val="00A67362"/>
    <w:rsid w:val="00A67636"/>
    <w:rsid w:val="00A67656"/>
    <w:rsid w:val="00A67BB9"/>
    <w:rsid w:val="00A70313"/>
    <w:rsid w:val="00A703B2"/>
    <w:rsid w:val="00A70C79"/>
    <w:rsid w:val="00A70DC0"/>
    <w:rsid w:val="00A7105E"/>
    <w:rsid w:val="00A7110E"/>
    <w:rsid w:val="00A719FB"/>
    <w:rsid w:val="00A71CE8"/>
    <w:rsid w:val="00A71FEB"/>
    <w:rsid w:val="00A72DD2"/>
    <w:rsid w:val="00A7309D"/>
    <w:rsid w:val="00A732B3"/>
    <w:rsid w:val="00A73418"/>
    <w:rsid w:val="00A73CB8"/>
    <w:rsid w:val="00A74500"/>
    <w:rsid w:val="00A74B96"/>
    <w:rsid w:val="00A74F74"/>
    <w:rsid w:val="00A75322"/>
    <w:rsid w:val="00A753D6"/>
    <w:rsid w:val="00A757D2"/>
    <w:rsid w:val="00A769F8"/>
    <w:rsid w:val="00A76DAE"/>
    <w:rsid w:val="00A77B53"/>
    <w:rsid w:val="00A80411"/>
    <w:rsid w:val="00A80A8F"/>
    <w:rsid w:val="00A80BC1"/>
    <w:rsid w:val="00A81455"/>
    <w:rsid w:val="00A8173A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3D82"/>
    <w:rsid w:val="00A93E7B"/>
    <w:rsid w:val="00A942D5"/>
    <w:rsid w:val="00A94BB6"/>
    <w:rsid w:val="00A95274"/>
    <w:rsid w:val="00A957AE"/>
    <w:rsid w:val="00A9633C"/>
    <w:rsid w:val="00A96494"/>
    <w:rsid w:val="00A96C9B"/>
    <w:rsid w:val="00A96DE1"/>
    <w:rsid w:val="00AA0032"/>
    <w:rsid w:val="00AA0AA5"/>
    <w:rsid w:val="00AA0B87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8BB"/>
    <w:rsid w:val="00AA751B"/>
    <w:rsid w:val="00AA7620"/>
    <w:rsid w:val="00AA7787"/>
    <w:rsid w:val="00AA7832"/>
    <w:rsid w:val="00AB08BD"/>
    <w:rsid w:val="00AB0C51"/>
    <w:rsid w:val="00AB0D85"/>
    <w:rsid w:val="00AB1943"/>
    <w:rsid w:val="00AB1A97"/>
    <w:rsid w:val="00AB1F3F"/>
    <w:rsid w:val="00AB22A0"/>
    <w:rsid w:val="00AB2CEA"/>
    <w:rsid w:val="00AB2D8F"/>
    <w:rsid w:val="00AB35EF"/>
    <w:rsid w:val="00AB460F"/>
    <w:rsid w:val="00AB4633"/>
    <w:rsid w:val="00AB477B"/>
    <w:rsid w:val="00AB47CC"/>
    <w:rsid w:val="00AB4D32"/>
    <w:rsid w:val="00AB5090"/>
    <w:rsid w:val="00AB56C7"/>
    <w:rsid w:val="00AB5ADA"/>
    <w:rsid w:val="00AB6805"/>
    <w:rsid w:val="00AB6ADB"/>
    <w:rsid w:val="00AB6C1F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4FA1"/>
    <w:rsid w:val="00AC5C90"/>
    <w:rsid w:val="00AC5E70"/>
    <w:rsid w:val="00AC5FF8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A99"/>
    <w:rsid w:val="00AD0AC3"/>
    <w:rsid w:val="00AD16A7"/>
    <w:rsid w:val="00AD2124"/>
    <w:rsid w:val="00AD29F7"/>
    <w:rsid w:val="00AD31B7"/>
    <w:rsid w:val="00AD37B6"/>
    <w:rsid w:val="00AD414F"/>
    <w:rsid w:val="00AD43C8"/>
    <w:rsid w:val="00AD495C"/>
    <w:rsid w:val="00AD4972"/>
    <w:rsid w:val="00AD4C81"/>
    <w:rsid w:val="00AD515D"/>
    <w:rsid w:val="00AD5E6C"/>
    <w:rsid w:val="00AD67AA"/>
    <w:rsid w:val="00AD7B12"/>
    <w:rsid w:val="00AD7DFE"/>
    <w:rsid w:val="00AE076D"/>
    <w:rsid w:val="00AE0F3E"/>
    <w:rsid w:val="00AE1874"/>
    <w:rsid w:val="00AE24D0"/>
    <w:rsid w:val="00AE2CE9"/>
    <w:rsid w:val="00AE315A"/>
    <w:rsid w:val="00AE3BB3"/>
    <w:rsid w:val="00AE3C02"/>
    <w:rsid w:val="00AE3DA6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610"/>
    <w:rsid w:val="00AF0966"/>
    <w:rsid w:val="00AF1425"/>
    <w:rsid w:val="00AF19E6"/>
    <w:rsid w:val="00AF24D7"/>
    <w:rsid w:val="00AF28E5"/>
    <w:rsid w:val="00AF2BEC"/>
    <w:rsid w:val="00AF35CA"/>
    <w:rsid w:val="00AF3828"/>
    <w:rsid w:val="00AF389B"/>
    <w:rsid w:val="00AF4273"/>
    <w:rsid w:val="00AF47C9"/>
    <w:rsid w:val="00AF4DB1"/>
    <w:rsid w:val="00AF6BF0"/>
    <w:rsid w:val="00AF6E6C"/>
    <w:rsid w:val="00AF741A"/>
    <w:rsid w:val="00AF79A2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43DC"/>
    <w:rsid w:val="00B045A6"/>
    <w:rsid w:val="00B04740"/>
    <w:rsid w:val="00B04969"/>
    <w:rsid w:val="00B0519E"/>
    <w:rsid w:val="00B05741"/>
    <w:rsid w:val="00B05765"/>
    <w:rsid w:val="00B0594A"/>
    <w:rsid w:val="00B059FB"/>
    <w:rsid w:val="00B067FC"/>
    <w:rsid w:val="00B07EB6"/>
    <w:rsid w:val="00B07F56"/>
    <w:rsid w:val="00B10306"/>
    <w:rsid w:val="00B1049D"/>
    <w:rsid w:val="00B108C5"/>
    <w:rsid w:val="00B10CFE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421"/>
    <w:rsid w:val="00B14C30"/>
    <w:rsid w:val="00B1526B"/>
    <w:rsid w:val="00B158F0"/>
    <w:rsid w:val="00B15B0D"/>
    <w:rsid w:val="00B168F7"/>
    <w:rsid w:val="00B169B7"/>
    <w:rsid w:val="00B16ADE"/>
    <w:rsid w:val="00B16C32"/>
    <w:rsid w:val="00B17516"/>
    <w:rsid w:val="00B17E3D"/>
    <w:rsid w:val="00B20162"/>
    <w:rsid w:val="00B21DDF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79F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5136"/>
    <w:rsid w:val="00B357F6"/>
    <w:rsid w:val="00B35D81"/>
    <w:rsid w:val="00B36316"/>
    <w:rsid w:val="00B36370"/>
    <w:rsid w:val="00B36D13"/>
    <w:rsid w:val="00B37538"/>
    <w:rsid w:val="00B37B77"/>
    <w:rsid w:val="00B37EE4"/>
    <w:rsid w:val="00B40189"/>
    <w:rsid w:val="00B4133F"/>
    <w:rsid w:val="00B4192A"/>
    <w:rsid w:val="00B42179"/>
    <w:rsid w:val="00B421F5"/>
    <w:rsid w:val="00B42B0D"/>
    <w:rsid w:val="00B42F12"/>
    <w:rsid w:val="00B43E12"/>
    <w:rsid w:val="00B44566"/>
    <w:rsid w:val="00B445E6"/>
    <w:rsid w:val="00B44872"/>
    <w:rsid w:val="00B44F33"/>
    <w:rsid w:val="00B45DAD"/>
    <w:rsid w:val="00B45DF1"/>
    <w:rsid w:val="00B46501"/>
    <w:rsid w:val="00B46667"/>
    <w:rsid w:val="00B47E02"/>
    <w:rsid w:val="00B500D5"/>
    <w:rsid w:val="00B50384"/>
    <w:rsid w:val="00B50B7F"/>
    <w:rsid w:val="00B50DE7"/>
    <w:rsid w:val="00B50F3B"/>
    <w:rsid w:val="00B50FA9"/>
    <w:rsid w:val="00B51363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4352"/>
    <w:rsid w:val="00B543DC"/>
    <w:rsid w:val="00B54571"/>
    <w:rsid w:val="00B54C15"/>
    <w:rsid w:val="00B55072"/>
    <w:rsid w:val="00B55134"/>
    <w:rsid w:val="00B555AB"/>
    <w:rsid w:val="00B562ED"/>
    <w:rsid w:val="00B56647"/>
    <w:rsid w:val="00B56953"/>
    <w:rsid w:val="00B5739A"/>
    <w:rsid w:val="00B576CA"/>
    <w:rsid w:val="00B5798E"/>
    <w:rsid w:val="00B60109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B84"/>
    <w:rsid w:val="00B65089"/>
    <w:rsid w:val="00B65284"/>
    <w:rsid w:val="00B65483"/>
    <w:rsid w:val="00B6577F"/>
    <w:rsid w:val="00B65827"/>
    <w:rsid w:val="00B65828"/>
    <w:rsid w:val="00B66EC1"/>
    <w:rsid w:val="00B67571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19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2F4D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BF0"/>
    <w:rsid w:val="00BA0CE8"/>
    <w:rsid w:val="00BA2967"/>
    <w:rsid w:val="00BA2D7F"/>
    <w:rsid w:val="00BA3259"/>
    <w:rsid w:val="00BA34FA"/>
    <w:rsid w:val="00BA3F64"/>
    <w:rsid w:val="00BA49ED"/>
    <w:rsid w:val="00BA4AFF"/>
    <w:rsid w:val="00BA5BAC"/>
    <w:rsid w:val="00BA5FA9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97F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424"/>
    <w:rsid w:val="00BB5004"/>
    <w:rsid w:val="00BB55C1"/>
    <w:rsid w:val="00BB59C7"/>
    <w:rsid w:val="00BB5C52"/>
    <w:rsid w:val="00BB6C36"/>
    <w:rsid w:val="00BB737F"/>
    <w:rsid w:val="00BC016F"/>
    <w:rsid w:val="00BC09FD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42E"/>
    <w:rsid w:val="00BE05AA"/>
    <w:rsid w:val="00BE0D67"/>
    <w:rsid w:val="00BE0FFC"/>
    <w:rsid w:val="00BE1219"/>
    <w:rsid w:val="00BE1231"/>
    <w:rsid w:val="00BE13CF"/>
    <w:rsid w:val="00BE1B41"/>
    <w:rsid w:val="00BE1D8E"/>
    <w:rsid w:val="00BE1ECC"/>
    <w:rsid w:val="00BE24F8"/>
    <w:rsid w:val="00BE2D12"/>
    <w:rsid w:val="00BE34C5"/>
    <w:rsid w:val="00BE36E1"/>
    <w:rsid w:val="00BE3D57"/>
    <w:rsid w:val="00BE3F4B"/>
    <w:rsid w:val="00BE4F5F"/>
    <w:rsid w:val="00BE5591"/>
    <w:rsid w:val="00BE5BFC"/>
    <w:rsid w:val="00BE5D22"/>
    <w:rsid w:val="00BE5F8E"/>
    <w:rsid w:val="00BE7166"/>
    <w:rsid w:val="00BF0175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78D3"/>
    <w:rsid w:val="00BF7CDA"/>
    <w:rsid w:val="00C0001E"/>
    <w:rsid w:val="00C00108"/>
    <w:rsid w:val="00C0039D"/>
    <w:rsid w:val="00C003C3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D1E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4B80"/>
    <w:rsid w:val="00C25222"/>
    <w:rsid w:val="00C25DD5"/>
    <w:rsid w:val="00C26131"/>
    <w:rsid w:val="00C26DFA"/>
    <w:rsid w:val="00C272C0"/>
    <w:rsid w:val="00C27DAE"/>
    <w:rsid w:val="00C30102"/>
    <w:rsid w:val="00C306EF"/>
    <w:rsid w:val="00C30A65"/>
    <w:rsid w:val="00C30CE2"/>
    <w:rsid w:val="00C31722"/>
    <w:rsid w:val="00C31D95"/>
    <w:rsid w:val="00C32A34"/>
    <w:rsid w:val="00C32B3F"/>
    <w:rsid w:val="00C32C92"/>
    <w:rsid w:val="00C32ECC"/>
    <w:rsid w:val="00C32F53"/>
    <w:rsid w:val="00C33736"/>
    <w:rsid w:val="00C33A1C"/>
    <w:rsid w:val="00C33F5E"/>
    <w:rsid w:val="00C34416"/>
    <w:rsid w:val="00C34A2D"/>
    <w:rsid w:val="00C34D20"/>
    <w:rsid w:val="00C351F0"/>
    <w:rsid w:val="00C35CF3"/>
    <w:rsid w:val="00C35E16"/>
    <w:rsid w:val="00C368CE"/>
    <w:rsid w:val="00C36FEE"/>
    <w:rsid w:val="00C3788E"/>
    <w:rsid w:val="00C37BB5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C47"/>
    <w:rsid w:val="00C5359A"/>
    <w:rsid w:val="00C538C9"/>
    <w:rsid w:val="00C53951"/>
    <w:rsid w:val="00C5400C"/>
    <w:rsid w:val="00C5463B"/>
    <w:rsid w:val="00C54835"/>
    <w:rsid w:val="00C54D2D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CBA"/>
    <w:rsid w:val="00C57FF7"/>
    <w:rsid w:val="00C60664"/>
    <w:rsid w:val="00C60B86"/>
    <w:rsid w:val="00C617DD"/>
    <w:rsid w:val="00C6218B"/>
    <w:rsid w:val="00C62A21"/>
    <w:rsid w:val="00C633D6"/>
    <w:rsid w:val="00C64540"/>
    <w:rsid w:val="00C6582C"/>
    <w:rsid w:val="00C65C5F"/>
    <w:rsid w:val="00C664BD"/>
    <w:rsid w:val="00C66509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FA4"/>
    <w:rsid w:val="00C868C1"/>
    <w:rsid w:val="00C86AC1"/>
    <w:rsid w:val="00C86F1A"/>
    <w:rsid w:val="00C8779B"/>
    <w:rsid w:val="00C87857"/>
    <w:rsid w:val="00C9094C"/>
    <w:rsid w:val="00C90CA7"/>
    <w:rsid w:val="00C91A42"/>
    <w:rsid w:val="00C92ECD"/>
    <w:rsid w:val="00C932D7"/>
    <w:rsid w:val="00C93955"/>
    <w:rsid w:val="00C94A54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598"/>
    <w:rsid w:val="00CA5DC3"/>
    <w:rsid w:val="00CA64B3"/>
    <w:rsid w:val="00CA709C"/>
    <w:rsid w:val="00CA710E"/>
    <w:rsid w:val="00CA736F"/>
    <w:rsid w:val="00CA7D5D"/>
    <w:rsid w:val="00CB0105"/>
    <w:rsid w:val="00CB05B2"/>
    <w:rsid w:val="00CB0DBC"/>
    <w:rsid w:val="00CB10BB"/>
    <w:rsid w:val="00CB16FD"/>
    <w:rsid w:val="00CB182D"/>
    <w:rsid w:val="00CB26BF"/>
    <w:rsid w:val="00CB27BC"/>
    <w:rsid w:val="00CB3208"/>
    <w:rsid w:val="00CB331B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4421"/>
    <w:rsid w:val="00CC489C"/>
    <w:rsid w:val="00CC5536"/>
    <w:rsid w:val="00CC5CB5"/>
    <w:rsid w:val="00CC7690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1639"/>
    <w:rsid w:val="00CD2CE2"/>
    <w:rsid w:val="00CD2F7B"/>
    <w:rsid w:val="00CD331E"/>
    <w:rsid w:val="00CD34A8"/>
    <w:rsid w:val="00CD38D5"/>
    <w:rsid w:val="00CD3C0B"/>
    <w:rsid w:val="00CD4885"/>
    <w:rsid w:val="00CD4F11"/>
    <w:rsid w:val="00CD51BA"/>
    <w:rsid w:val="00CD6191"/>
    <w:rsid w:val="00CD6BA4"/>
    <w:rsid w:val="00CD7505"/>
    <w:rsid w:val="00CD7E4F"/>
    <w:rsid w:val="00CE02BD"/>
    <w:rsid w:val="00CE1287"/>
    <w:rsid w:val="00CE145D"/>
    <w:rsid w:val="00CE2208"/>
    <w:rsid w:val="00CE28EC"/>
    <w:rsid w:val="00CE3023"/>
    <w:rsid w:val="00CE3090"/>
    <w:rsid w:val="00CE31D2"/>
    <w:rsid w:val="00CE3559"/>
    <w:rsid w:val="00CE3D9A"/>
    <w:rsid w:val="00CE4485"/>
    <w:rsid w:val="00CE4B80"/>
    <w:rsid w:val="00CE52AD"/>
    <w:rsid w:val="00CE543E"/>
    <w:rsid w:val="00CE5D5A"/>
    <w:rsid w:val="00CE75F9"/>
    <w:rsid w:val="00CF0424"/>
    <w:rsid w:val="00CF0A18"/>
    <w:rsid w:val="00CF0EE7"/>
    <w:rsid w:val="00CF1C4A"/>
    <w:rsid w:val="00CF1E40"/>
    <w:rsid w:val="00CF25C7"/>
    <w:rsid w:val="00CF2908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273E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1508"/>
    <w:rsid w:val="00D11B32"/>
    <w:rsid w:val="00D11C77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464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07D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4B86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984"/>
    <w:rsid w:val="00D46A42"/>
    <w:rsid w:val="00D46CA9"/>
    <w:rsid w:val="00D47800"/>
    <w:rsid w:val="00D478CB"/>
    <w:rsid w:val="00D47DE6"/>
    <w:rsid w:val="00D5026E"/>
    <w:rsid w:val="00D51670"/>
    <w:rsid w:val="00D5181A"/>
    <w:rsid w:val="00D52BBC"/>
    <w:rsid w:val="00D52CB5"/>
    <w:rsid w:val="00D53002"/>
    <w:rsid w:val="00D530A1"/>
    <w:rsid w:val="00D5385D"/>
    <w:rsid w:val="00D538AB"/>
    <w:rsid w:val="00D53CAD"/>
    <w:rsid w:val="00D53DF3"/>
    <w:rsid w:val="00D54A06"/>
    <w:rsid w:val="00D54B4E"/>
    <w:rsid w:val="00D5500A"/>
    <w:rsid w:val="00D567FF"/>
    <w:rsid w:val="00D5685B"/>
    <w:rsid w:val="00D56A56"/>
    <w:rsid w:val="00D57113"/>
    <w:rsid w:val="00D576AB"/>
    <w:rsid w:val="00D577F9"/>
    <w:rsid w:val="00D5791D"/>
    <w:rsid w:val="00D57C54"/>
    <w:rsid w:val="00D6051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D97"/>
    <w:rsid w:val="00D711E2"/>
    <w:rsid w:val="00D71445"/>
    <w:rsid w:val="00D7144B"/>
    <w:rsid w:val="00D716BF"/>
    <w:rsid w:val="00D73405"/>
    <w:rsid w:val="00D74127"/>
    <w:rsid w:val="00D75701"/>
    <w:rsid w:val="00D76AAA"/>
    <w:rsid w:val="00D76F01"/>
    <w:rsid w:val="00D7774C"/>
    <w:rsid w:val="00D80336"/>
    <w:rsid w:val="00D80761"/>
    <w:rsid w:val="00D813B8"/>
    <w:rsid w:val="00D81B2B"/>
    <w:rsid w:val="00D81C4D"/>
    <w:rsid w:val="00D82005"/>
    <w:rsid w:val="00D82744"/>
    <w:rsid w:val="00D833FF"/>
    <w:rsid w:val="00D84881"/>
    <w:rsid w:val="00D84FFF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21A2"/>
    <w:rsid w:val="00DA2E12"/>
    <w:rsid w:val="00DA3F04"/>
    <w:rsid w:val="00DA4FB5"/>
    <w:rsid w:val="00DA50F9"/>
    <w:rsid w:val="00DA52C5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AA0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714"/>
    <w:rsid w:val="00DC7843"/>
    <w:rsid w:val="00DD0B54"/>
    <w:rsid w:val="00DD0D2C"/>
    <w:rsid w:val="00DD0E00"/>
    <w:rsid w:val="00DD0FA2"/>
    <w:rsid w:val="00DD1686"/>
    <w:rsid w:val="00DD173E"/>
    <w:rsid w:val="00DD19B9"/>
    <w:rsid w:val="00DD2235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2C"/>
    <w:rsid w:val="00DD6A57"/>
    <w:rsid w:val="00DD72BB"/>
    <w:rsid w:val="00DD757F"/>
    <w:rsid w:val="00DD777E"/>
    <w:rsid w:val="00DE0B2A"/>
    <w:rsid w:val="00DE15FE"/>
    <w:rsid w:val="00DE1C59"/>
    <w:rsid w:val="00DE2C95"/>
    <w:rsid w:val="00DE2FDC"/>
    <w:rsid w:val="00DE3188"/>
    <w:rsid w:val="00DE31E9"/>
    <w:rsid w:val="00DE323E"/>
    <w:rsid w:val="00DE3A7F"/>
    <w:rsid w:val="00DE3CD5"/>
    <w:rsid w:val="00DE3F66"/>
    <w:rsid w:val="00DE490B"/>
    <w:rsid w:val="00DE4C07"/>
    <w:rsid w:val="00DE50D6"/>
    <w:rsid w:val="00DE5226"/>
    <w:rsid w:val="00DE53A8"/>
    <w:rsid w:val="00DE53E4"/>
    <w:rsid w:val="00DE576D"/>
    <w:rsid w:val="00DE5BEF"/>
    <w:rsid w:val="00DE72BA"/>
    <w:rsid w:val="00DF04E6"/>
    <w:rsid w:val="00DF074F"/>
    <w:rsid w:val="00DF07CA"/>
    <w:rsid w:val="00DF0E56"/>
    <w:rsid w:val="00DF10B4"/>
    <w:rsid w:val="00DF11F7"/>
    <w:rsid w:val="00DF1E01"/>
    <w:rsid w:val="00DF21FC"/>
    <w:rsid w:val="00DF2451"/>
    <w:rsid w:val="00DF2A19"/>
    <w:rsid w:val="00DF30BA"/>
    <w:rsid w:val="00DF363B"/>
    <w:rsid w:val="00DF3ACB"/>
    <w:rsid w:val="00DF4356"/>
    <w:rsid w:val="00DF457B"/>
    <w:rsid w:val="00DF48F9"/>
    <w:rsid w:val="00DF4DA3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20F"/>
    <w:rsid w:val="00E06415"/>
    <w:rsid w:val="00E069CE"/>
    <w:rsid w:val="00E06C45"/>
    <w:rsid w:val="00E07186"/>
    <w:rsid w:val="00E07839"/>
    <w:rsid w:val="00E07F68"/>
    <w:rsid w:val="00E1013D"/>
    <w:rsid w:val="00E109AA"/>
    <w:rsid w:val="00E113D8"/>
    <w:rsid w:val="00E1164D"/>
    <w:rsid w:val="00E119EF"/>
    <w:rsid w:val="00E11D9E"/>
    <w:rsid w:val="00E1204C"/>
    <w:rsid w:val="00E1256C"/>
    <w:rsid w:val="00E13DAF"/>
    <w:rsid w:val="00E147F3"/>
    <w:rsid w:val="00E14AA2"/>
    <w:rsid w:val="00E157DD"/>
    <w:rsid w:val="00E164B7"/>
    <w:rsid w:val="00E172DE"/>
    <w:rsid w:val="00E1758B"/>
    <w:rsid w:val="00E203A7"/>
    <w:rsid w:val="00E20B2D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10F"/>
    <w:rsid w:val="00E2521A"/>
    <w:rsid w:val="00E25275"/>
    <w:rsid w:val="00E25CA1"/>
    <w:rsid w:val="00E2694B"/>
    <w:rsid w:val="00E26DAA"/>
    <w:rsid w:val="00E270B8"/>
    <w:rsid w:val="00E27A44"/>
    <w:rsid w:val="00E30053"/>
    <w:rsid w:val="00E31616"/>
    <w:rsid w:val="00E31A25"/>
    <w:rsid w:val="00E31DE8"/>
    <w:rsid w:val="00E3224F"/>
    <w:rsid w:val="00E3236E"/>
    <w:rsid w:val="00E323E5"/>
    <w:rsid w:val="00E328E5"/>
    <w:rsid w:val="00E32DDC"/>
    <w:rsid w:val="00E3304A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5E19"/>
    <w:rsid w:val="00E36660"/>
    <w:rsid w:val="00E37849"/>
    <w:rsid w:val="00E37983"/>
    <w:rsid w:val="00E37F2B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3AC"/>
    <w:rsid w:val="00E465F1"/>
    <w:rsid w:val="00E46FBA"/>
    <w:rsid w:val="00E47016"/>
    <w:rsid w:val="00E470E5"/>
    <w:rsid w:val="00E47FE5"/>
    <w:rsid w:val="00E5038C"/>
    <w:rsid w:val="00E50821"/>
    <w:rsid w:val="00E50B98"/>
    <w:rsid w:val="00E510A8"/>
    <w:rsid w:val="00E511F1"/>
    <w:rsid w:val="00E51E3C"/>
    <w:rsid w:val="00E520DE"/>
    <w:rsid w:val="00E525EF"/>
    <w:rsid w:val="00E52C6A"/>
    <w:rsid w:val="00E52C95"/>
    <w:rsid w:val="00E52DE9"/>
    <w:rsid w:val="00E5308C"/>
    <w:rsid w:val="00E53127"/>
    <w:rsid w:val="00E53894"/>
    <w:rsid w:val="00E54D41"/>
    <w:rsid w:val="00E55A57"/>
    <w:rsid w:val="00E55C53"/>
    <w:rsid w:val="00E55C78"/>
    <w:rsid w:val="00E55E9A"/>
    <w:rsid w:val="00E57163"/>
    <w:rsid w:val="00E576CB"/>
    <w:rsid w:val="00E57C48"/>
    <w:rsid w:val="00E57DD2"/>
    <w:rsid w:val="00E604F9"/>
    <w:rsid w:val="00E60E6B"/>
    <w:rsid w:val="00E6156A"/>
    <w:rsid w:val="00E626BA"/>
    <w:rsid w:val="00E629F5"/>
    <w:rsid w:val="00E62EF1"/>
    <w:rsid w:val="00E63919"/>
    <w:rsid w:val="00E6453D"/>
    <w:rsid w:val="00E648D8"/>
    <w:rsid w:val="00E648E8"/>
    <w:rsid w:val="00E652C1"/>
    <w:rsid w:val="00E6567B"/>
    <w:rsid w:val="00E662E3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630"/>
    <w:rsid w:val="00E94F34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9C2"/>
    <w:rsid w:val="00EC1E1E"/>
    <w:rsid w:val="00EC24BD"/>
    <w:rsid w:val="00EC29D4"/>
    <w:rsid w:val="00EC2A47"/>
    <w:rsid w:val="00EC3576"/>
    <w:rsid w:val="00EC3739"/>
    <w:rsid w:val="00EC3915"/>
    <w:rsid w:val="00EC3ADF"/>
    <w:rsid w:val="00EC3BD1"/>
    <w:rsid w:val="00EC47E2"/>
    <w:rsid w:val="00EC48AE"/>
    <w:rsid w:val="00EC4ACB"/>
    <w:rsid w:val="00EC50C1"/>
    <w:rsid w:val="00EC581B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E03EB"/>
    <w:rsid w:val="00EE0660"/>
    <w:rsid w:val="00EE08A5"/>
    <w:rsid w:val="00EE0BFD"/>
    <w:rsid w:val="00EE0E5D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E7C22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6D4E"/>
    <w:rsid w:val="00F17971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322"/>
    <w:rsid w:val="00F33934"/>
    <w:rsid w:val="00F339D8"/>
    <w:rsid w:val="00F34187"/>
    <w:rsid w:val="00F345C0"/>
    <w:rsid w:val="00F3461C"/>
    <w:rsid w:val="00F34A92"/>
    <w:rsid w:val="00F350CD"/>
    <w:rsid w:val="00F352BF"/>
    <w:rsid w:val="00F355A9"/>
    <w:rsid w:val="00F359FE"/>
    <w:rsid w:val="00F402A9"/>
    <w:rsid w:val="00F4043A"/>
    <w:rsid w:val="00F40D0D"/>
    <w:rsid w:val="00F4175A"/>
    <w:rsid w:val="00F41EA5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107"/>
    <w:rsid w:val="00F528B4"/>
    <w:rsid w:val="00F529FE"/>
    <w:rsid w:val="00F52C5C"/>
    <w:rsid w:val="00F52C74"/>
    <w:rsid w:val="00F5314A"/>
    <w:rsid w:val="00F53428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774"/>
    <w:rsid w:val="00F70A57"/>
    <w:rsid w:val="00F715CE"/>
    <w:rsid w:val="00F716B7"/>
    <w:rsid w:val="00F72000"/>
    <w:rsid w:val="00F724C8"/>
    <w:rsid w:val="00F72D36"/>
    <w:rsid w:val="00F72E01"/>
    <w:rsid w:val="00F736AE"/>
    <w:rsid w:val="00F739E4"/>
    <w:rsid w:val="00F74286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25F7"/>
    <w:rsid w:val="00F826E9"/>
    <w:rsid w:val="00F8296C"/>
    <w:rsid w:val="00F82CDA"/>
    <w:rsid w:val="00F82D4D"/>
    <w:rsid w:val="00F83A3C"/>
    <w:rsid w:val="00F8411F"/>
    <w:rsid w:val="00F846DA"/>
    <w:rsid w:val="00F8616A"/>
    <w:rsid w:val="00F866AF"/>
    <w:rsid w:val="00F902AB"/>
    <w:rsid w:val="00F90324"/>
    <w:rsid w:val="00F90BC1"/>
    <w:rsid w:val="00F90C28"/>
    <w:rsid w:val="00F90E83"/>
    <w:rsid w:val="00F9183A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7E1"/>
    <w:rsid w:val="00FA185E"/>
    <w:rsid w:val="00FA275B"/>
    <w:rsid w:val="00FA55F8"/>
    <w:rsid w:val="00FA5A01"/>
    <w:rsid w:val="00FA63A8"/>
    <w:rsid w:val="00FA6538"/>
    <w:rsid w:val="00FA6717"/>
    <w:rsid w:val="00FA6AA2"/>
    <w:rsid w:val="00FA6D2A"/>
    <w:rsid w:val="00FA72DE"/>
    <w:rsid w:val="00FA7339"/>
    <w:rsid w:val="00FA7678"/>
    <w:rsid w:val="00FA796F"/>
    <w:rsid w:val="00FA7D79"/>
    <w:rsid w:val="00FA7DAE"/>
    <w:rsid w:val="00FB0D1D"/>
    <w:rsid w:val="00FB1EF4"/>
    <w:rsid w:val="00FB2078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0689"/>
    <w:rsid w:val="00FC122E"/>
    <w:rsid w:val="00FC177B"/>
    <w:rsid w:val="00FC1A55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8B1"/>
    <w:rsid w:val="00FC4EB2"/>
    <w:rsid w:val="00FC514C"/>
    <w:rsid w:val="00FC544D"/>
    <w:rsid w:val="00FC5738"/>
    <w:rsid w:val="00FC57AE"/>
    <w:rsid w:val="00FC590A"/>
    <w:rsid w:val="00FC64EF"/>
    <w:rsid w:val="00FC66FD"/>
    <w:rsid w:val="00FC684C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2FD6"/>
    <w:rsid w:val="00FD3285"/>
    <w:rsid w:val="00FD3803"/>
    <w:rsid w:val="00FD3ACC"/>
    <w:rsid w:val="00FD3EA2"/>
    <w:rsid w:val="00FD42D0"/>
    <w:rsid w:val="00FD4BD5"/>
    <w:rsid w:val="00FD5862"/>
    <w:rsid w:val="00FD5F87"/>
    <w:rsid w:val="00FD632E"/>
    <w:rsid w:val="00FD6826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704"/>
    <w:rsid w:val="00FE77BA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F53"/>
    <w:rsid w:val="00FF5033"/>
    <w:rsid w:val="00FF52C5"/>
    <w:rsid w:val="00FF5373"/>
    <w:rsid w:val="00FF5994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7B549"/>
  <w15:docId w15:val="{1182ABBF-7809-4096-BC46-CB40B49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3C6995"/>
    <w:pPr>
      <w:tabs>
        <w:tab w:val="right" w:leader="dot" w:pos="10065"/>
      </w:tabs>
      <w:spacing w:before="120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4F81BD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flegar\Desktop\ZAPOSLENI%20GRAFIK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665</c:v>
                </c:pt>
                <c:pt idx="1">
                  <c:v>126</c:v>
                </c:pt>
                <c:pt idx="2">
                  <c:v>456</c:v>
                </c:pt>
                <c:pt idx="3">
                  <c:v>276</c:v>
                </c:pt>
                <c:pt idx="4">
                  <c:v>59</c:v>
                </c:pt>
                <c:pt idx="5">
                  <c:v>521</c:v>
                </c:pt>
                <c:pt idx="6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1-47C0-9B57-25B9FDA7A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504104"/>
        <c:axId val="350498200"/>
        <c:axId val="0"/>
      </c:bar3DChart>
      <c:catAx>
        <c:axId val="35050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0498200"/>
        <c:crosses val="autoZero"/>
        <c:auto val="1"/>
        <c:lblAlgn val="ctr"/>
        <c:lblOffset val="100"/>
        <c:noMultiLvlLbl val="0"/>
      </c:catAx>
      <c:valAx>
        <c:axId val="35049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050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 2022.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86552</c:v>
                </c:pt>
                <c:pt idx="1">
                  <c:v>49331</c:v>
                </c:pt>
                <c:pt idx="2">
                  <c:v>44195</c:v>
                </c:pt>
                <c:pt idx="3">
                  <c:v>55673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 2022.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80642</c:v>
                </c:pt>
                <c:pt idx="1">
                  <c:v>42852</c:v>
                </c:pt>
                <c:pt idx="2">
                  <c:v>38456</c:v>
                </c:pt>
                <c:pt idx="3">
                  <c:v>59569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rujan 2022.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97382</c:v>
                </c:pt>
                <c:pt idx="1">
                  <c:v>51961</c:v>
                </c:pt>
                <c:pt idx="2">
                  <c:v>59075</c:v>
                </c:pt>
                <c:pt idx="3">
                  <c:v>51901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717248"/>
        <c:axId val="241718784"/>
        <c:axId val="0"/>
      </c:bar3DChart>
      <c:catAx>
        <c:axId val="24171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1718784"/>
        <c:crosses val="autoZero"/>
        <c:auto val="1"/>
        <c:lblAlgn val="ctr"/>
        <c:lblOffset val="100"/>
        <c:noMultiLvlLbl val="0"/>
      </c:catAx>
      <c:valAx>
        <c:axId val="24171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171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II. Kvartal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List1!$A$2:$A$19</c:f>
              <c:strCache>
                <c:ptCount val="18"/>
                <c:pt idx="0">
                  <c:v>Zagreb</c:v>
                </c:pt>
                <c:pt idx="1">
                  <c:v>Split</c:v>
                </c:pt>
                <c:pt idx="2">
                  <c:v>Rijeka</c:v>
                </c:pt>
                <c:pt idx="3">
                  <c:v>Supetar</c:v>
                </c:pt>
                <c:pt idx="4">
                  <c:v>Zadar</c:v>
                </c:pt>
                <c:pt idx="5">
                  <c:v>Poreč</c:v>
                </c:pt>
                <c:pt idx="6">
                  <c:v>Šibenik</c:v>
                </c:pt>
                <c:pt idx="7">
                  <c:v>Gospić</c:v>
                </c:pt>
                <c:pt idx="8">
                  <c:v>Pag</c:v>
                </c:pt>
                <c:pt idx="9">
                  <c:v>Krk</c:v>
                </c:pt>
                <c:pt idx="10">
                  <c:v>Trogir</c:v>
                </c:pt>
                <c:pt idx="11">
                  <c:v>Karlovac</c:v>
                </c:pt>
                <c:pt idx="12">
                  <c:v>Buje</c:v>
                </c:pt>
                <c:pt idx="13">
                  <c:v>Kaštel Lukšić</c:v>
                </c:pt>
                <c:pt idx="14">
                  <c:v>Vinkovci</c:v>
                </c:pt>
                <c:pt idx="15">
                  <c:v>Dubrovnik</c:v>
                </c:pt>
                <c:pt idx="16">
                  <c:v>Makarska </c:v>
                </c:pt>
                <c:pt idx="17">
                  <c:v>Opatija</c:v>
                </c:pt>
              </c:strCache>
            </c:strRef>
          </c:cat>
          <c:val>
            <c:numRef>
              <c:f>List1!$B$2:$B$19</c:f>
              <c:numCache>
                <c:formatCode>General</c:formatCode>
                <c:ptCount val="18"/>
                <c:pt idx="0">
                  <c:v>5506</c:v>
                </c:pt>
                <c:pt idx="1">
                  <c:v>3727</c:v>
                </c:pt>
                <c:pt idx="2">
                  <c:v>3083</c:v>
                </c:pt>
                <c:pt idx="3">
                  <c:v>2533</c:v>
                </c:pt>
                <c:pt idx="4">
                  <c:v>1790</c:v>
                </c:pt>
                <c:pt idx="5">
                  <c:v>1915</c:v>
                </c:pt>
                <c:pt idx="6">
                  <c:v>1753</c:v>
                </c:pt>
                <c:pt idx="7">
                  <c:v>931</c:v>
                </c:pt>
                <c:pt idx="8">
                  <c:v>1649</c:v>
                </c:pt>
                <c:pt idx="9">
                  <c:v>1409</c:v>
                </c:pt>
                <c:pt idx="10">
                  <c:v>1032</c:v>
                </c:pt>
                <c:pt idx="11">
                  <c:v>1386</c:v>
                </c:pt>
                <c:pt idx="12">
                  <c:v>1527</c:v>
                </c:pt>
                <c:pt idx="13">
                  <c:v>1071</c:v>
                </c:pt>
                <c:pt idx="14">
                  <c:v>2400</c:v>
                </c:pt>
                <c:pt idx="15">
                  <c:v>980</c:v>
                </c:pt>
                <c:pt idx="16">
                  <c:v>659</c:v>
                </c:pt>
                <c:pt idx="17">
                  <c:v>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47-4C47-B82E-7DF5B13D6F3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III. Kvartal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List1!$A$2:$A$19</c:f>
              <c:strCache>
                <c:ptCount val="18"/>
                <c:pt idx="0">
                  <c:v>Zagreb</c:v>
                </c:pt>
                <c:pt idx="1">
                  <c:v>Split</c:v>
                </c:pt>
                <c:pt idx="2">
                  <c:v>Rijeka</c:v>
                </c:pt>
                <c:pt idx="3">
                  <c:v>Supetar</c:v>
                </c:pt>
                <c:pt idx="4">
                  <c:v>Zadar</c:v>
                </c:pt>
                <c:pt idx="5">
                  <c:v>Poreč</c:v>
                </c:pt>
                <c:pt idx="6">
                  <c:v>Šibenik</c:v>
                </c:pt>
                <c:pt idx="7">
                  <c:v>Gospić</c:v>
                </c:pt>
                <c:pt idx="8">
                  <c:v>Pag</c:v>
                </c:pt>
                <c:pt idx="9">
                  <c:v>Krk</c:v>
                </c:pt>
                <c:pt idx="10">
                  <c:v>Trogir</c:v>
                </c:pt>
                <c:pt idx="11">
                  <c:v>Karlovac</c:v>
                </c:pt>
                <c:pt idx="12">
                  <c:v>Buje</c:v>
                </c:pt>
                <c:pt idx="13">
                  <c:v>Kaštel Lukšić</c:v>
                </c:pt>
                <c:pt idx="14">
                  <c:v>Vinkovci</c:v>
                </c:pt>
                <c:pt idx="15">
                  <c:v>Dubrovnik</c:v>
                </c:pt>
                <c:pt idx="16">
                  <c:v>Makarska </c:v>
                </c:pt>
                <c:pt idx="17">
                  <c:v>Opatija</c:v>
                </c:pt>
              </c:strCache>
            </c:strRef>
          </c:cat>
          <c:val>
            <c:numRef>
              <c:f>List1!$C$2:$C$19</c:f>
              <c:numCache>
                <c:formatCode>#,##0</c:formatCode>
                <c:ptCount val="18"/>
                <c:pt idx="0">
                  <c:v>4871</c:v>
                </c:pt>
                <c:pt idx="1">
                  <c:v>4119</c:v>
                </c:pt>
                <c:pt idx="2">
                  <c:v>2519</c:v>
                </c:pt>
                <c:pt idx="3">
                  <c:v>2451</c:v>
                </c:pt>
                <c:pt idx="4">
                  <c:v>2056</c:v>
                </c:pt>
                <c:pt idx="5">
                  <c:v>2001</c:v>
                </c:pt>
                <c:pt idx="6">
                  <c:v>1985</c:v>
                </c:pt>
                <c:pt idx="7">
                  <c:v>1941</c:v>
                </c:pt>
                <c:pt idx="8">
                  <c:v>1898</c:v>
                </c:pt>
                <c:pt idx="9">
                  <c:v>1642</c:v>
                </c:pt>
                <c:pt idx="10">
                  <c:v>1376</c:v>
                </c:pt>
                <c:pt idx="11">
                  <c:v>1275</c:v>
                </c:pt>
                <c:pt idx="12">
                  <c:v>1248</c:v>
                </c:pt>
                <c:pt idx="13">
                  <c:v>1239</c:v>
                </c:pt>
                <c:pt idx="14">
                  <c:v>1169</c:v>
                </c:pt>
                <c:pt idx="15">
                  <c:v>1037</c:v>
                </c:pt>
                <c:pt idx="16">
                  <c:v>1034</c:v>
                </c:pt>
                <c:pt idx="17">
                  <c:v>1013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47-4C47-B82E-7DF5B13D6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6707000"/>
        <c:axId val="386705032"/>
      </c:lineChart>
      <c:catAx>
        <c:axId val="386707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6705032"/>
        <c:crosses val="autoZero"/>
        <c:auto val="1"/>
        <c:lblAlgn val="ctr"/>
        <c:lblOffset val="100"/>
        <c:noMultiLvlLbl val="0"/>
      </c:catAx>
      <c:valAx>
        <c:axId val="38670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670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21229</c:v>
                </c:pt>
                <c:pt idx="1">
                  <c:v>18576</c:v>
                </c:pt>
                <c:pt idx="2">
                  <c:v>21558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A-4279-82E8-F7AD2619CCC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5330</c:v>
                </c:pt>
                <c:pt idx="1">
                  <c:v>3562</c:v>
                </c:pt>
                <c:pt idx="2">
                  <c:v>4665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1A-4279-82E8-F7AD2619CCC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eSpis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List1!$D$2:$D$4</c:f>
              <c:numCache>
                <c:formatCode>#,##0</c:formatCode>
                <c:ptCount val="3"/>
                <c:pt idx="0">
                  <c:v>2004</c:v>
                </c:pt>
                <c:pt idx="1">
                  <c:v>1357</c:v>
                </c:pt>
                <c:pt idx="2">
                  <c:v>1854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1A-4279-82E8-F7AD2619CCC5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DORH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List1!$E$2:$E$4</c:f>
              <c:numCache>
                <c:formatCode>#,##0</c:formatCode>
                <c:ptCount val="3"/>
                <c:pt idx="0">
                  <c:v>818</c:v>
                </c:pt>
                <c:pt idx="1">
                  <c:v>604</c:v>
                </c:pt>
                <c:pt idx="2">
                  <c:v>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1A-4279-82E8-F7AD2619C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6683648"/>
        <c:axId val="466691192"/>
      </c:barChart>
      <c:catAx>
        <c:axId val="46668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6691192"/>
        <c:crosses val="autoZero"/>
        <c:auto val="1"/>
        <c:lblAlgn val="ctr"/>
        <c:lblOffset val="100"/>
        <c:noMultiLvlLbl val="0"/>
      </c:catAx>
      <c:valAx>
        <c:axId val="466691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668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e-Građani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18534</c:v>
                </c:pt>
                <c:pt idx="1">
                  <c:v>16578</c:v>
                </c:pt>
                <c:pt idx="2">
                  <c:v>18783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318</c:v>
                </c:pt>
                <c:pt idx="1">
                  <c:v>228</c:v>
                </c:pt>
                <c:pt idx="2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6584</c:v>
                </c:pt>
                <c:pt idx="1">
                  <c:v>4526</c:v>
                </c:pt>
                <c:pt idx="2">
                  <c:v>5942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DORH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2325</c:v>
                </c:pt>
                <c:pt idx="1">
                  <c:v>1998</c:v>
                </c:pt>
                <c:pt idx="2">
                  <c:v>1722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Geo.izvoditelj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rujan</c:v>
                </c:pt>
                <c:pt idx="1">
                  <c:v>kolovoz</c:v>
                </c:pt>
                <c:pt idx="2">
                  <c:v>srpanj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2046</c:v>
                </c:pt>
                <c:pt idx="1">
                  <c:v>1284</c:v>
                </c:pt>
                <c:pt idx="2">
                  <c:v>1934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6711808"/>
        <c:axId val="246713344"/>
      </c:barChart>
      <c:catAx>
        <c:axId val="24671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6713344"/>
        <c:crosses val="autoZero"/>
        <c:auto val="1"/>
        <c:lblAlgn val="ctr"/>
        <c:lblOffset val="100"/>
        <c:noMultiLvlLbl val="0"/>
      </c:catAx>
      <c:valAx>
        <c:axId val="246713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671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List1!$A$2:$A$20</c:f>
              <c:strCache>
                <c:ptCount val="19"/>
                <c:pt idx="0">
                  <c:v>8.mj.2004.</c:v>
                </c:pt>
                <c:pt idx="1">
                  <c:v>9.mj.2005.</c:v>
                </c:pt>
                <c:pt idx="2">
                  <c:v>9.mj.2006.</c:v>
                </c:pt>
                <c:pt idx="3">
                  <c:v>9.mj.2007.</c:v>
                </c:pt>
                <c:pt idx="4">
                  <c:v>9.mj.2008.</c:v>
                </c:pt>
                <c:pt idx="5">
                  <c:v>9.mj.2009.</c:v>
                </c:pt>
                <c:pt idx="6">
                  <c:v>9.mj.2010.</c:v>
                </c:pt>
                <c:pt idx="7">
                  <c:v>9.mj.2011.</c:v>
                </c:pt>
                <c:pt idx="8">
                  <c:v>9.mj.2012.</c:v>
                </c:pt>
                <c:pt idx="9">
                  <c:v>9.mj.2013.</c:v>
                </c:pt>
                <c:pt idx="10">
                  <c:v>9.mj.2014.</c:v>
                </c:pt>
                <c:pt idx="11">
                  <c:v>9.mj.2015.</c:v>
                </c:pt>
                <c:pt idx="12">
                  <c:v>9.mj.2016.</c:v>
                </c:pt>
                <c:pt idx="13">
                  <c:v>9.mj.2017.</c:v>
                </c:pt>
                <c:pt idx="14">
                  <c:v>9.mj.2018.</c:v>
                </c:pt>
                <c:pt idx="15">
                  <c:v>9.mj.2019.</c:v>
                </c:pt>
                <c:pt idx="16">
                  <c:v>9.mj.2020.</c:v>
                </c:pt>
                <c:pt idx="17">
                  <c:v>9.mj.2021.</c:v>
                </c:pt>
                <c:pt idx="18">
                  <c:v>9.mj.2022.</c:v>
                </c:pt>
              </c:strCache>
            </c:strRef>
          </c:cat>
          <c:val>
            <c:numRef>
              <c:f>List1!$B$2:$B$20</c:f>
              <c:numCache>
                <c:formatCode>#,##0</c:formatCode>
                <c:ptCount val="19"/>
                <c:pt idx="0">
                  <c:v>359500</c:v>
                </c:pt>
                <c:pt idx="1">
                  <c:v>249913</c:v>
                </c:pt>
                <c:pt idx="2">
                  <c:v>173975</c:v>
                </c:pt>
                <c:pt idx="3">
                  <c:v>134809</c:v>
                </c:pt>
                <c:pt idx="4">
                  <c:v>109379</c:v>
                </c:pt>
                <c:pt idx="5">
                  <c:v>99341</c:v>
                </c:pt>
                <c:pt idx="6">
                  <c:v>78013</c:v>
                </c:pt>
                <c:pt idx="7">
                  <c:v>59061</c:v>
                </c:pt>
                <c:pt idx="8">
                  <c:v>65182</c:v>
                </c:pt>
                <c:pt idx="9">
                  <c:v>49588</c:v>
                </c:pt>
                <c:pt idx="10">
                  <c:v>53941</c:v>
                </c:pt>
                <c:pt idx="11">
                  <c:v>41503</c:v>
                </c:pt>
                <c:pt idx="12">
                  <c:v>47999</c:v>
                </c:pt>
                <c:pt idx="13">
                  <c:v>49599</c:v>
                </c:pt>
                <c:pt idx="14">
                  <c:v>50576</c:v>
                </c:pt>
                <c:pt idx="15">
                  <c:v>57786</c:v>
                </c:pt>
                <c:pt idx="16">
                  <c:v>45656</c:v>
                </c:pt>
                <c:pt idx="17">
                  <c:v>45459</c:v>
                </c:pt>
                <c:pt idx="18">
                  <c:v>51901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D2-42AE-9071-0CF9EAF65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81144"/>
        <c:axId val="393373272"/>
      </c:lineChart>
      <c:catAx>
        <c:axId val="39338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73272"/>
        <c:crosses val="autoZero"/>
        <c:auto val="1"/>
        <c:lblAlgn val="ctr"/>
        <c:lblOffset val="100"/>
        <c:noMultiLvlLbl val="0"/>
      </c:catAx>
      <c:valAx>
        <c:axId val="39337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381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66E2-21FD-4C06-993A-834F3A9D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8988</Words>
  <Characters>51233</Characters>
  <Application>Microsoft Office Word</Application>
  <DocSecurity>0</DocSecurity>
  <Lines>426</Lines>
  <Paragraphs>120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I. UVOD</vt:lpstr>
      <vt:lpstr>II. OPĆI PODACI O STRUKTURI OPĆINSKIH SUDOVA U REPUBLICI HRVATSKOJ</vt:lpstr>
      <vt:lpstr>III. OPĆI PRIKAZ PODATAKA O KRETANJU PREDMETA NA ZEMLJIŠNOKNJIŽNIM ODJELIMA OPĆI</vt:lpstr>
      <vt:lpstr/>
      <vt:lpstr>IV. PREGLED POSLOVANJA POJEDINAČNO PO SUDOVIMA </vt:lpstr>
      <vt:lpstr>V. STOPA RJEŠAVANJA PREDMETA POJEDINAČNO PO SUDOVIMA</vt:lpstr>
      <vt:lpstr>VI. VRIJEME RJEŠAVANJA PREDMETA</vt:lpstr>
      <vt:lpstr>VII. ZEMLJIŠNOKNJIŽNI ODJELI PREMA BROJU NERIJEŠENIH REDOVNIH PREDMETA</vt:lpstr>
      <vt:lpstr>VIII. STRUKTURA ZEMLJIŠNOKNJIŽNIH PREDMETA PREMA SLOŽENOSTI </vt:lpstr>
      <vt:lpstr>IX. ELEKTRONIČKO POSLOVANJE ZEMLJIŠNOKNJIŽNIH ODJELA OPĆINSKIH SUDOVA REPUBLIKE </vt:lpstr>
      <vt:lpstr>X. PRAĆENJE AKTIVNOSTI ZEMLJIŠNOKNJIŽNIH ODJELA OD KOLOVOZA 2004. DO 30. RUJNA 2</vt:lpstr>
      <vt:lpstr/>
      <vt:lpstr>XI. POPIS TABLICA I GRAFIKONA</vt:lpstr>
      <vt:lpstr/>
    </vt:vector>
  </TitlesOfParts>
  <Company>MPRH</Company>
  <LinksUpToDate>false</LinksUpToDate>
  <CharactersWithSpaces>60101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Andreja Sobota</cp:lastModifiedBy>
  <cp:revision>2</cp:revision>
  <cp:lastPrinted>2022-10-13T08:13:00Z</cp:lastPrinted>
  <dcterms:created xsi:type="dcterms:W3CDTF">2022-10-20T10:47:00Z</dcterms:created>
  <dcterms:modified xsi:type="dcterms:W3CDTF">2022-10-20T10:47:00Z</dcterms:modified>
</cp:coreProperties>
</file>